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27776">
      <w:pPr>
        <w:ind w:firstLine="560" w:firstLineChars="200"/>
        <w:rPr>
          <w:sz w:val="28"/>
          <w:szCs w:val="28"/>
        </w:rPr>
      </w:pPr>
      <w:bookmarkStart w:id="0" w:name="_GoBack"/>
      <w:r>
        <w:rPr>
          <w:rFonts w:hint="eastAsia"/>
          <w:sz w:val="28"/>
          <w:szCs w:val="28"/>
        </w:rPr>
        <w:t>按照《西安市2024年餐饮单位油烟及燃煤污染治理和露天焚烧管控工作方案》要求，需引入第三方检测机构对区内产生油烟的餐饮单位油烟净化效果进行抽查检测，出具油烟排放监测报告,凡达不到《饮食业油烟排放标准》（GB18483-2001）排放限值的，责令限期整改，确保达标排放。</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659E3"/>
    <w:rsid w:val="4DA65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2024-12-19T02:35:00Z</dcterms:created>
  <dc:creator>cool~静</dc:creator>
  <cp:lastModifiedBy>cool~静</cp:lastModifiedBy>
  <dcterms:modified xsi:type="dcterms:W3CDTF">2024-12-19T02:35:50Z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C8ED79515A7249319FF5FD115981F08E_11</vt:lpwstr>
  </property>
</Properties>
</file>