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bookmarkStart w:id="0" w:name="_GoBack"/>
      <w:bookmarkEnd w:id="0"/>
    </w:p>
    <w:p>
      <w:pPr>
        <w:rPr>
          <w:rFonts w:ascii="仿宋" w:hAnsi="仿宋" w:eastAsia="仿宋" w:cs="仿宋"/>
        </w:rPr>
      </w:pPr>
    </w:p>
    <w:tbl>
      <w:tblPr>
        <w:tblStyle w:val="5"/>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2856"/>
        <w:gridCol w:w="5074"/>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5074" w:type="dxa"/>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5074" w:type="dxa"/>
            <w:tcBorders>
              <w:bottom w:val="single" w:color="auto" w:sz="4" w:space="0"/>
            </w:tcBorders>
            <w:vAlign w:val="center"/>
          </w:tcPr>
          <w:p>
            <w:pPr>
              <w:jc w:val="center"/>
              <w:rPr>
                <w:rFonts w:hint="eastAsia" w:ascii="仿宋" w:hAnsi="仿宋" w:eastAsia="仿宋" w:cs="仿宋"/>
                <w:bCs/>
                <w:sz w:val="24"/>
                <w:lang w:eastAsia="zh-CN"/>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5074" w:type="dxa"/>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5074" w:type="dxa"/>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lang w:val="en-US" w:eastAsia="zh-CN"/>
              </w:rPr>
              <w:t>交付期</w:t>
            </w:r>
            <w:r>
              <w:rPr>
                <w:rFonts w:hint="eastAsia" w:ascii="仿宋" w:hAnsi="仿宋" w:eastAsia="仿宋" w:cs="仿宋"/>
                <w:bCs/>
                <w:sz w:val="24"/>
              </w:rPr>
              <w:t>是否响应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质保期是否响应</w:t>
            </w:r>
          </w:p>
        </w:tc>
        <w:tc>
          <w:tcPr>
            <w:tcW w:w="5074" w:type="dxa"/>
            <w:vAlign w:val="center"/>
          </w:tcPr>
          <w:p>
            <w:pP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5074" w:type="dxa"/>
            <w:vAlign w:val="center"/>
          </w:tcPr>
          <w:p>
            <w:pPr>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numPr>
          <w:ilvl w:val="0"/>
          <w:numId w:val="1"/>
        </w:numPr>
        <w:spacing w:line="360" w:lineRule="auto"/>
        <w:ind w:firstLine="480" w:firstLineChars="200"/>
        <w:rPr>
          <w:rFonts w:hint="eastAsia" w:ascii="仿宋" w:hAnsi="仿宋" w:eastAsia="仿宋" w:cs="仿宋"/>
          <w:sz w:val="24"/>
        </w:rPr>
      </w:pPr>
      <w:r>
        <w:rPr>
          <w:rFonts w:hint="eastAsia" w:ascii="仿宋" w:hAnsi="仿宋" w:eastAsia="仿宋" w:cs="仿宋"/>
          <w:sz w:val="24"/>
        </w:rPr>
        <w:t>付款方式是否响应、</w:t>
      </w:r>
      <w:r>
        <w:rPr>
          <w:rFonts w:hint="eastAsia" w:ascii="仿宋" w:hAnsi="仿宋" w:eastAsia="仿宋" w:cs="仿宋"/>
          <w:bCs/>
          <w:sz w:val="24"/>
          <w:lang w:val="en-US" w:eastAsia="zh-CN"/>
        </w:rPr>
        <w:t>交付期是否响应、</w:t>
      </w:r>
      <w:r>
        <w:rPr>
          <w:rFonts w:hint="eastAsia" w:ascii="仿宋" w:hAnsi="仿宋" w:eastAsia="仿宋" w:cs="仿宋"/>
          <w:sz w:val="24"/>
          <w:lang w:val="en-US" w:eastAsia="zh-CN"/>
        </w:rPr>
        <w:t>质保期</w:t>
      </w:r>
      <w:r>
        <w:rPr>
          <w:rFonts w:hint="eastAsia" w:ascii="仿宋" w:hAnsi="仿宋" w:eastAsia="仿宋" w:cs="仿宋"/>
          <w:sz w:val="24"/>
        </w:rPr>
        <w:t>是否响应请填写“是”或者“否”。</w:t>
      </w:r>
    </w:p>
    <w:p>
      <w:pPr>
        <w:spacing w:line="360" w:lineRule="auto"/>
        <w:ind w:firstLine="480" w:firstLineChars="200"/>
        <w:rPr>
          <w:rFonts w:hint="default" w:ascii="仿宋" w:hAnsi="仿宋" w:eastAsia="仿宋" w:cs="仿宋"/>
          <w:sz w:val="24"/>
          <w:lang w:val="en-US" w:eastAsia="zh-CN"/>
        </w:rPr>
      </w:pPr>
      <w:r>
        <w:rPr>
          <w:rFonts w:hint="eastAsia" w:ascii="仿宋" w:hAnsi="仿宋" w:eastAsia="仿宋" w:cs="仿宋"/>
          <w:sz w:val="24"/>
          <w:lang w:val="en-US" w:eastAsia="zh-CN"/>
        </w:rPr>
        <w:t>2、因本项目涉及新学期教学正常运行开展，影响广泛重大，请供应商审慎考虑交付期，并提供明确的，可行的保障方法。</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评标委员会认为投标人的报价明显低于其他通过符合性审查投标人的报价，有可能不能诚信履约的，应当要求其在评标现场合理的时间内提供书面说明，必要时提交相关证明材料；投标人不能证明其报价合理性的，评标委员会应当将其作为无效投标处理。</w:t>
      </w:r>
    </w:p>
    <w:p>
      <w:pPr>
        <w:spacing w:line="360" w:lineRule="auto"/>
        <w:ind w:firstLine="480" w:firstLineChars="200"/>
        <w:rPr>
          <w:rFonts w:hint="default" w:ascii="仿宋" w:hAnsi="仿宋" w:eastAsia="仿宋"/>
          <w:color w:val="0D0D0D"/>
          <w:sz w:val="24"/>
          <w:szCs w:val="22"/>
          <w:lang w:val="en-US" w:eastAsia="zh-CN"/>
        </w:rPr>
      </w:pPr>
      <w:r>
        <w:rPr>
          <w:rFonts w:hint="eastAsia" w:ascii="仿宋" w:hAnsi="仿宋" w:eastAsia="仿宋" w:cs="仿宋"/>
          <w:sz w:val="24"/>
          <w:lang w:val="en-US" w:eastAsia="zh-CN"/>
        </w:rPr>
        <w:t>4</w:t>
      </w:r>
      <w:r>
        <w:rPr>
          <w:rFonts w:hint="eastAsia" w:ascii="仿宋" w:hAnsi="仿宋" w:eastAsia="仿宋" w:cs="仿宋"/>
          <w:sz w:val="24"/>
        </w:rPr>
        <w:t>、</w:t>
      </w:r>
      <w:r>
        <w:rPr>
          <w:rFonts w:hint="eastAsia" w:ascii="仿宋" w:hAnsi="仿宋" w:eastAsia="仿宋"/>
          <w:color w:val="0D0D0D"/>
          <w:sz w:val="24"/>
          <w:szCs w:val="22"/>
          <w:lang w:val="en-US" w:eastAsia="zh-CN"/>
        </w:rPr>
        <w:t>本项目各设备报价应为全费用综合价格包含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乙方应承担的其他义务的费用、代理服务费等，以上费用应包含在货物报价中无需单列。</w:t>
      </w:r>
    </w:p>
    <w:p>
      <w:pPr>
        <w:pStyle w:val="2"/>
      </w:pPr>
    </w:p>
    <w:tbl>
      <w:tblPr>
        <w:tblStyle w:val="5"/>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366AB1"/>
    <w:multiLevelType w:val="singleLevel"/>
    <w:tmpl w:val="B3366A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1EF804E3"/>
    <w:rsid w:val="0A8D678E"/>
    <w:rsid w:val="1EF804E3"/>
    <w:rsid w:val="368F4FC2"/>
    <w:rsid w:val="434B08B1"/>
    <w:rsid w:val="557773FB"/>
    <w:rsid w:val="733D6CF9"/>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b/>
      <w:sz w:val="28"/>
    </w:rPr>
  </w:style>
  <w:style w:type="paragraph" w:styleId="4">
    <w:name w:val="annotation text"/>
    <w:basedOn w:val="1"/>
    <w:autoRedefine/>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255</Words>
  <Characters>278</Characters>
  <Lines>0</Lines>
  <Paragraphs>0</Paragraphs>
  <TotalTime>0</TotalTime>
  <ScaleCrop>false</ScaleCrop>
  <LinksUpToDate>false</LinksUpToDate>
  <CharactersWithSpaces>368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admin</cp:lastModifiedBy>
  <dcterms:modified xsi:type="dcterms:W3CDTF">2024-05-06T09:16:46Z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BD67BB44755D47358212B6C4AB77FEFE_13</vt:lpwstr>
  </property>
</Properties>
</file>