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221"/>
        <w:gridCol w:w="2700"/>
      </w:tblGrid>
      <w:tr w14:paraId="196581D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BBC486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序号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CAE6EE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参数/类型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CC3A0B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指标</w:t>
            </w:r>
          </w:p>
        </w:tc>
      </w:tr>
      <w:tr w14:paraId="752DA2C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48CDC2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1"/>
              </w:rPr>
              <w:t>1</w:t>
            </w:r>
          </w:p>
        </w:tc>
        <w:tc>
          <w:tcPr>
            <w:tcW w:w="2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6764D8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带宽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B564F9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≥500M， OTN专线</w:t>
            </w:r>
          </w:p>
        </w:tc>
      </w:tr>
      <w:tr w14:paraId="78CF36C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130E24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1"/>
              </w:rPr>
              <w:t>2</w:t>
            </w:r>
          </w:p>
        </w:tc>
        <w:tc>
          <w:tcPr>
            <w:tcW w:w="2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ED136A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接入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DA146A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光纤</w:t>
            </w:r>
          </w:p>
        </w:tc>
      </w:tr>
      <w:tr w14:paraId="6447330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C26344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1"/>
              </w:rPr>
              <w:t>3</w:t>
            </w:r>
          </w:p>
        </w:tc>
        <w:tc>
          <w:tcPr>
            <w:tcW w:w="2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027252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可弹性扩展接口速率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27CD01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2Mbps-100Gbps</w:t>
            </w:r>
          </w:p>
        </w:tc>
      </w:tr>
      <w:tr w14:paraId="21A51BC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E7EC36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1"/>
              </w:rPr>
              <w:t>4</w:t>
            </w:r>
          </w:p>
        </w:tc>
        <w:tc>
          <w:tcPr>
            <w:tcW w:w="2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B5864B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丢帧率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A21D30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≤10</w:t>
            </w:r>
            <w:r>
              <w:rPr>
                <w:rFonts w:ascii="宋体" w:hAnsi="宋体" w:eastAsia="宋体" w:cs="宋体"/>
                <w:sz w:val="21"/>
                <w:vertAlign w:val="superscript"/>
              </w:rPr>
              <w:t>-7</w:t>
            </w:r>
            <w:r>
              <w:rPr>
                <w:rFonts w:ascii="Calibri" w:hAnsi="Calibri" w:eastAsia="Calibri" w:cs="Calibri"/>
                <w:sz w:val="21"/>
              </w:rPr>
              <w:t xml:space="preserve">   </w:t>
            </w:r>
          </w:p>
        </w:tc>
      </w:tr>
      <w:tr w14:paraId="13CA0B1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83EDA3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1"/>
              </w:rPr>
              <w:t>5</w:t>
            </w:r>
          </w:p>
        </w:tc>
        <w:tc>
          <w:tcPr>
            <w:tcW w:w="2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1AED17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时延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0B5D51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小于3ms</w:t>
            </w:r>
          </w:p>
        </w:tc>
      </w:tr>
      <w:tr w14:paraId="0F8797F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CEA393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1"/>
              </w:rPr>
              <w:t>7</w:t>
            </w:r>
          </w:p>
        </w:tc>
        <w:tc>
          <w:tcPr>
            <w:tcW w:w="2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AB5EAA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误码率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F89372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小于1×10E-7</w:t>
            </w:r>
          </w:p>
        </w:tc>
      </w:tr>
      <w:tr w14:paraId="743B016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6AF78A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1"/>
              </w:rPr>
              <w:t>8</w:t>
            </w:r>
          </w:p>
        </w:tc>
        <w:tc>
          <w:tcPr>
            <w:tcW w:w="2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09A54F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可用率指标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839022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99.9%</w:t>
            </w:r>
          </w:p>
        </w:tc>
      </w:tr>
      <w:tr w14:paraId="1B230C0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B0F1D5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1"/>
              </w:rPr>
              <w:t>9</w:t>
            </w:r>
          </w:p>
        </w:tc>
        <w:tc>
          <w:tcPr>
            <w:tcW w:w="2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A29CB0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1"/>
              </w:rPr>
              <w:t>负载均衡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D97957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通过软硬件实现2条链路的负载均衡</w:t>
            </w:r>
          </w:p>
        </w:tc>
      </w:tr>
      <w:tr w14:paraId="47B714C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1E2E37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1"/>
              </w:rPr>
              <w:t>10</w:t>
            </w:r>
          </w:p>
        </w:tc>
        <w:tc>
          <w:tcPr>
            <w:tcW w:w="2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0DBF63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传端到端单向延时参考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D53069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≤8ms/1000km</w:t>
            </w:r>
          </w:p>
        </w:tc>
      </w:tr>
      <w:tr w14:paraId="69F3646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43E2FA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1"/>
              </w:rPr>
              <w:t>11</w:t>
            </w:r>
          </w:p>
        </w:tc>
        <w:tc>
          <w:tcPr>
            <w:tcW w:w="2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3837C8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网管监控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ECA772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7*24小时</w:t>
            </w:r>
          </w:p>
        </w:tc>
      </w:tr>
      <w:tr w14:paraId="38EFADD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A5E339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1"/>
              </w:rPr>
              <w:t>12</w:t>
            </w:r>
          </w:p>
        </w:tc>
        <w:tc>
          <w:tcPr>
            <w:tcW w:w="2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1DBADB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监控能力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6B84A1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提供管家级实时监测链路通断、带宽、时延、丢包等情况的工具</w:t>
            </w:r>
          </w:p>
        </w:tc>
      </w:tr>
      <w:tr w14:paraId="0FF9A12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19EF03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13</w:t>
            </w:r>
          </w:p>
        </w:tc>
        <w:tc>
          <w:tcPr>
            <w:tcW w:w="2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211C69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调速能力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1211E7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支持平滑调速</w:t>
            </w:r>
          </w:p>
        </w:tc>
      </w:tr>
      <w:tr w14:paraId="3CF55B6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3070FB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1"/>
              </w:rPr>
              <w:t>14</w:t>
            </w:r>
          </w:p>
        </w:tc>
        <w:tc>
          <w:tcPr>
            <w:tcW w:w="2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A82AFF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备用线路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B866B3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提供不小于500MB的备用链路（且和主链路来自不同路由）以保证业务的连续性</w:t>
            </w:r>
          </w:p>
        </w:tc>
      </w:tr>
      <w:tr w14:paraId="19E7B95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295749">
            <w:pPr>
              <w:pStyle w:val="4"/>
              <w:jc w:val="left"/>
            </w:pPr>
            <w:bookmarkStart w:id="0" w:name="_GoBack"/>
            <w:bookmarkEnd w:id="0"/>
            <w:r>
              <w:rPr>
                <w:rFonts w:ascii="宋体" w:hAnsi="宋体" w:eastAsia="宋体" w:cs="宋体"/>
                <w:sz w:val="21"/>
              </w:rPr>
              <w:t>15</w:t>
            </w:r>
          </w:p>
        </w:tc>
        <w:tc>
          <w:tcPr>
            <w:tcW w:w="2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89E308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业务一致性要求</w:t>
            </w:r>
          </w:p>
        </w:tc>
        <w:tc>
          <w:tcPr>
            <w:tcW w:w="2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B99D05">
            <w:pPr>
              <w:pStyle w:val="4"/>
              <w:jc w:val="both"/>
            </w:pPr>
            <w:r>
              <w:rPr>
                <w:rFonts w:ascii="宋体" w:hAnsi="宋体" w:eastAsia="宋体" w:cs="宋体"/>
                <w:sz w:val="21"/>
              </w:rPr>
              <w:t>为保证两院区间数据和业务一致性，且诊疗数据不能中断，本次要求平滑无感切换。</w:t>
            </w:r>
          </w:p>
        </w:tc>
      </w:tr>
    </w:tbl>
    <w:p w14:paraId="084FD9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ZWY0NzI1YzM2ZGRkNzQ5Zjg2YjFkZTNiNDRiZDgifQ=="/>
  </w:docVars>
  <w:rsids>
    <w:rsidRoot w:val="00000000"/>
    <w:rsid w:val="1D7A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2024-09-29T08:34:54Z</dcterms:created>
  <dc:creator>Administrator</dc:creator>
  <cp:lastModifiedBy>wangx</cp:lastModifiedBy>
  <dcterms:modified xsi:type="dcterms:W3CDTF">2024-09-29T08:35:08Z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8049642350CD4E51838BD32C1A799FB1_12</vt:lpwstr>
  </property>
</Properties>
</file>