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5E868">
      <w:r>
        <w:t>为了提高西安市第四医院（人民医院院区）服务品质，节约成本，使医患人员都能用上安全、卫生的饮用水，拟对“租赁直饮机”项目进行三年采购。单价采购、据实结算。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NzVmNmVkN2I3ZmQ2OTRlNmFjNGJhZTI1NzQ0MWUifQ=="/>
  </w:docVars>
  <w:rsids>
    <w:rsidRoot w:val="494E1EDC"/>
    <w:rsid w:val="494E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2024-08-23T05:39:00Z</dcterms:created>
  <dc:creator>陕西中技招标有限公司</dc:creator>
  <cp:lastModifiedBy>陕西中技招标有限公司</cp:lastModifiedBy>
  <dcterms:modified xsi:type="dcterms:W3CDTF">2024-08-23T05:39:14Z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857F14B7F53548258998015E5C859CD7_11</vt:lpwstr>
  </property>
</Properties>
</file>