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长安区引镇街道、杨庄街道、王莽街道地质灾害风险调查评价</w:t>
      </w:r>
    </w:p>
    <w:p>
      <w:pPr>
        <w:pStyle w:val="null3"/>
        <w:jc w:val="center"/>
        <w:outlineLvl w:val="2"/>
      </w:pPr>
      <w:r>
        <w:rPr>
          <w:b/>
          <w:sz w:val="28"/>
        </w:rPr>
        <w:t>采购项目编号：</w:t>
      </w:r>
      <w:r>
        <w:rPr>
          <w:b/>
          <w:sz w:val="28"/>
        </w:rPr>
        <w:t>SZT2024-SN-QC-ZC-FW-0125</w:t>
      </w:r>
      <w:r>
        <w:br/>
      </w:r>
      <w:r>
        <w:br/>
      </w:r>
      <w:r>
        <w:br/>
      </w:r>
    </w:p>
    <w:p>
      <w:pPr>
        <w:pStyle w:val="null3"/>
        <w:jc w:val="center"/>
        <w:outlineLvl w:val="2"/>
      </w:pPr>
      <w:r>
        <w:rPr>
          <w:b/>
          <w:sz w:val="28"/>
        </w:rPr>
        <w:t>西安市自然资源和规划局长安分局矿产资源管理站</w:t>
      </w:r>
    </w:p>
    <w:p>
      <w:pPr>
        <w:pStyle w:val="null3"/>
        <w:jc w:val="center"/>
        <w:outlineLvl w:val="2"/>
      </w:pPr>
      <w:r>
        <w:rPr>
          <w:b/>
          <w:sz w:val="28"/>
        </w:rPr>
        <w:t>陕西中技招标有限公司</w:t>
      </w:r>
      <w:r>
        <w:rPr>
          <w:b/>
          <w:sz w:val="28"/>
        </w:rPr>
        <w:t>共同编制</w:t>
      </w:r>
    </w:p>
    <w:p>
      <w:pPr>
        <w:pStyle w:val="null3"/>
        <w:jc w:val="center"/>
        <w:outlineLvl w:val="2"/>
      </w:pPr>
      <w:r>
        <w:rPr>
          <w:b/>
          <w:sz w:val="28"/>
        </w:rPr>
        <w:t>2024年03月11日</w:t>
      </w:r>
    </w:p>
    <w:p>
      <w:pPr>
        <w:pStyle w:val="null3"/>
      </w:pPr>
      <w:r>
        <w:rPr/>
        <w:t xml:space="preserve"> </w:t>
      </w:r>
    </w:p>
    <w:p>
      <w:pPr>
        <w:pStyle w:val="null3"/>
        <w:jc w:val="center"/>
        <w:outlineLvl w:val="1"/>
      </w:pPr>
      <w:r>
        <w:rPr>
          <w:b/>
          <w:sz w:val="36"/>
        </w:rPr>
        <w:t>第一章 竞争性磋商邀请</w:t>
      </w:r>
    </w:p>
    <w:p>
      <w:pPr>
        <w:pStyle w:val="null3"/>
        <w:ind w:firstLine="480"/>
      </w:pPr>
      <w:r>
        <w:rPr/>
        <w:t>陕西中技招标有限公司</w:t>
      </w:r>
      <w:r>
        <w:rPr/>
        <w:t>（以下简称“代理机构”）受</w:t>
      </w:r>
      <w:r>
        <w:rPr/>
        <w:t>西安市自然资源和规划局长安分局矿产资源管理站</w:t>
      </w:r>
      <w:r>
        <w:rPr/>
        <w:t>委托，拟对</w:t>
      </w:r>
      <w:r>
        <w:rPr/>
        <w:t>长安区引镇街道、杨庄街道、王莽街道地质灾害风险调查评价</w:t>
      </w:r>
      <w:r>
        <w:rPr/>
        <w:t>采用竞争性磋商采购方式进行采购，兹邀请供应商参加本项目的竞争性磋商。</w:t>
      </w:r>
    </w:p>
    <w:p>
      <w:pPr>
        <w:pStyle w:val="null3"/>
        <w:outlineLvl w:val="2"/>
      </w:pPr>
      <w:r>
        <w:rPr>
          <w:b/>
          <w:sz w:val="28"/>
        </w:rPr>
        <w:t>一、项目编号：</w:t>
      </w:r>
      <w:r>
        <w:rPr>
          <w:b/>
          <w:sz w:val="28"/>
        </w:rPr>
        <w:t>SZT2024-SN-QC-ZC-FW-0125</w:t>
      </w:r>
    </w:p>
    <w:p>
      <w:pPr>
        <w:pStyle w:val="null3"/>
        <w:outlineLvl w:val="2"/>
      </w:pPr>
      <w:r>
        <w:rPr>
          <w:b/>
          <w:sz w:val="28"/>
        </w:rPr>
        <w:t>二、项目名称：</w:t>
      </w:r>
      <w:r>
        <w:rPr>
          <w:b/>
          <w:sz w:val="28"/>
        </w:rPr>
        <w:t>长安区引镇街道、杨庄街道、王莽街道地质灾害风险调查评价</w:t>
      </w:r>
    </w:p>
    <w:p>
      <w:pPr>
        <w:pStyle w:val="null3"/>
        <w:outlineLvl w:val="2"/>
      </w:pPr>
      <w:r>
        <w:rPr>
          <w:b/>
          <w:sz w:val="28"/>
        </w:rPr>
        <w:t>三、磋商项目简介</w:t>
      </w:r>
    </w:p>
    <w:p>
      <w:pPr>
        <w:pStyle w:val="null3"/>
        <w:ind w:firstLine="480"/>
      </w:pPr>
      <w:r>
        <w:rPr/>
        <w:t>本项目为西安市自然资源和规划局长安分局矿产资源管理站长安区引镇街道、杨庄街道、王莽街道地质灾害风险调查评价。</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 供应商需在项目电子化交易系统中按要求上传相应证明文件并进行电子签章。</w:t>
      </w:r>
    </w:p>
    <w:p>
      <w:pPr>
        <w:pStyle w:val="null3"/>
      </w:pPr>
      <w:r>
        <w:rPr/>
        <w:t>2、供应商须具有地质灾害危险性评估甲级资质。：供应商须具有地质灾害危险性评估甲级资质。 供应商需在项目电子化交易系统中按要求上传相应证明文件并进行电子签章。</w:t>
      </w:r>
    </w:p>
    <w:p>
      <w:pPr>
        <w:pStyle w:val="null3"/>
      </w:pPr>
      <w:r>
        <w:rPr/>
        <w:t>3、本项目不接受联合体投标，不得分包、转包。：本项目不接受联合体投标，不得分包、转包。 供应商需在项目电子化交易系统中按要求上传相应证明文件并进行电子签章。</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西安市自然资源和规划局长安分局矿产资源管理站</w:t>
      </w:r>
    </w:p>
    <w:p>
      <w:pPr>
        <w:pStyle w:val="null3"/>
      </w:pPr>
      <w:r>
        <w:rPr/>
        <w:t xml:space="preserve"> 地址： </w:t>
      </w:r>
      <w:r>
        <w:rPr/>
        <w:t>长安区西长安街79号</w:t>
      </w:r>
    </w:p>
    <w:p>
      <w:pPr>
        <w:pStyle w:val="null3"/>
      </w:pPr>
      <w:r>
        <w:rPr/>
        <w:t xml:space="preserve"> 邮编： </w:t>
      </w:r>
      <w:r>
        <w:rPr/>
        <w:t>/</w:t>
      </w:r>
    </w:p>
    <w:p>
      <w:pPr>
        <w:pStyle w:val="null3"/>
      </w:pPr>
      <w:r>
        <w:rPr/>
        <w:t xml:space="preserve"> 联系人： </w:t>
      </w:r>
      <w:r>
        <w:rPr/>
        <w:t>张辉</w:t>
      </w:r>
    </w:p>
    <w:p>
      <w:pPr>
        <w:pStyle w:val="null3"/>
      </w:pPr>
      <w:r>
        <w:rPr/>
        <w:t xml:space="preserve"> 联系电话： </w:t>
      </w:r>
      <w:r>
        <w:rPr/>
        <w:t>029-85295468</w:t>
      </w:r>
    </w:p>
    <w:p>
      <w:pPr>
        <w:pStyle w:val="null3"/>
        <w:outlineLvl w:val="3"/>
      </w:pPr>
      <w:r>
        <w:rPr>
          <w:b/>
          <w:sz w:val="24"/>
        </w:rPr>
        <w:t>代理机构：</w:t>
      </w:r>
      <w:r>
        <w:rPr>
          <w:b/>
          <w:sz w:val="24"/>
        </w:rPr>
        <w:t>陕西中技招标有限公司</w:t>
      </w:r>
    </w:p>
    <w:p>
      <w:pPr>
        <w:pStyle w:val="null3"/>
      </w:pPr>
      <w:r>
        <w:rPr/>
        <w:t xml:space="preserve"> 地址： </w:t>
      </w:r>
      <w:r>
        <w:rPr/>
        <w:t>西安市高新区高新四路 1 号高科广场 A1001 室</w:t>
      </w:r>
    </w:p>
    <w:p>
      <w:pPr>
        <w:pStyle w:val="null3"/>
      </w:pPr>
      <w:r>
        <w:rPr/>
        <w:t xml:space="preserve"> 邮编： </w:t>
      </w:r>
      <w:r>
        <w:rPr/>
        <w:t>/</w:t>
      </w:r>
    </w:p>
    <w:p>
      <w:pPr>
        <w:pStyle w:val="null3"/>
      </w:pPr>
      <w:r>
        <w:rPr/>
        <w:t xml:space="preserve"> 联系人： </w:t>
      </w:r>
      <w:r>
        <w:rPr/>
        <w:t>杨艳、沈肖楠、史肖霞</w:t>
      </w:r>
    </w:p>
    <w:p>
      <w:pPr>
        <w:pStyle w:val="null3"/>
      </w:pPr>
      <w:r>
        <w:rPr/>
        <w:t xml:space="preserve"> 联系电话： </w:t>
      </w:r>
      <w:r>
        <w:rPr/>
        <w:t>029-88364979-821</w:t>
      </w:r>
    </w:p>
    <w:p>
      <w:pPr>
        <w:pStyle w:val="null3"/>
        <w:outlineLvl w:val="3"/>
      </w:pPr>
      <w:r>
        <w:rPr>
          <w:b/>
          <w:sz w:val="24"/>
        </w:rPr>
        <w:t>采购监督机构：</w:t>
      </w:r>
      <w:r>
        <w:rPr>
          <w:b/>
          <w:sz w:val="24"/>
        </w:rPr>
        <w:t>西安市长安区政府采购管理股</w:t>
      </w:r>
    </w:p>
    <w:p>
      <w:pPr>
        <w:pStyle w:val="null3"/>
        <w:ind w:firstLine="480"/>
      </w:pPr>
      <w:r>
        <w:rPr/>
        <w:t>联系人：</w:t>
      </w:r>
      <w:r>
        <w:rPr/>
        <w:t>左崇伟</w:t>
      </w:r>
    </w:p>
    <w:p>
      <w:pPr>
        <w:pStyle w:val="null3"/>
        <w:ind w:firstLine="480"/>
      </w:pPr>
      <w:r>
        <w:rPr/>
        <w:t>联系电话：</w:t>
      </w:r>
      <w:r>
        <w:rPr/>
        <w:t>85645891</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采购包1：1,710,000.00元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由成交供应商承担，成交供应商在领取中标通知书时向采购代理机构支付招标代理服务费。招标代理服务费的收取按照国家计委颁布的《招标代理服务收费管理暂行办法》（计价格[2002]1980号）和（发改办价格[2003]857号）中服务类收费标准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西安市自然资源和规划局长安分局矿产资源管理站</w:t>
      </w:r>
      <w:r>
        <w:rPr/>
        <w:t>和</w:t>
      </w:r>
      <w:r>
        <w:rPr/>
        <w:t>陕西中技招标有限公司</w:t>
      </w:r>
      <w:r>
        <w:rPr/>
        <w:t>享有。对磋商文件中供应商参加本次政府采购活动应当具备的条件，磋商项目技术、服务、商务及其他要求，评审细则及标准由</w:t>
      </w:r>
      <w:r>
        <w:rPr/>
        <w:t>西安市自然资源和规划局长安分局矿产资源管理站</w:t>
      </w:r>
      <w:r>
        <w:rPr/>
        <w:t>负责解释。除上述磋商文件内容，其他内容由</w:t>
      </w:r>
      <w:r>
        <w:rPr/>
        <w:t>陕西中技招标有限公司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西安市自然资源和规划局长安分局矿产资源管理站</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国家相应的标准、规范</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本项目为西安市自然资源和规划局长安分局矿产资源管理站长安区引镇街道、杨庄街道、王莽街道地质灾害风险调查评价。</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1,710,000.00</w:t>
      </w:r>
    </w:p>
    <w:p>
      <w:pPr>
        <w:pStyle w:val="null3"/>
      </w:pPr>
      <w:r>
        <w:rPr/>
        <w:t>采购包最高限价（元）: 1,710,000.00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引镇、杨庄、王莽地质灾害风险调查评价</w:t>
            </w:r>
          </w:p>
        </w:tc>
        <w:tc>
          <w:tcPr>
            <w:tcW w:type="dxa" w:w="831"/>
          </w:tcPr>
          <w:p>
            <w:pPr>
              <w:pStyle w:val="null3"/>
              <w:jc w:val="right"/>
            </w:pPr>
            <w:r>
              <w:rPr/>
              <w:t>1.00</w:t>
            </w:r>
          </w:p>
        </w:tc>
        <w:tc>
          <w:tcPr>
            <w:tcW w:type="dxa" w:w="831"/>
          </w:tcPr>
          <w:p>
            <w:pPr>
              <w:pStyle w:val="null3"/>
              <w:jc w:val="right"/>
            </w:pPr>
            <w:r>
              <w:rPr/>
              <w:t>1,710,000.00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标的名称：引镇、杨庄、王莽地质灾害风险调查评价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0"/>
              </w:rPr>
              <w:t>一、项目概况</w:t>
            </w:r>
          </w:p>
          <w:p>
            <w:pPr>
              <w:pStyle w:val="null3"/>
            </w:pPr>
            <w:r>
              <w:rPr>
                <w:rFonts w:ascii="宋体" w:hAnsi="宋体" w:cs="宋体" w:eastAsia="宋体"/>
                <w:sz w:val="20"/>
              </w:rPr>
              <w:t>按照《地质灾害风险调查评价技术要求》（</w:t>
            </w:r>
            <w:r>
              <w:rPr>
                <w:rFonts w:ascii="calibri" w:hAnsi="calibri" w:cs="calibri" w:eastAsia="calibri"/>
                <w:sz w:val="20"/>
              </w:rPr>
              <w:t>2020</w:t>
            </w:r>
            <w:r>
              <w:rPr>
                <w:rFonts w:ascii="宋体" w:hAnsi="宋体" w:cs="宋体" w:eastAsia="宋体"/>
                <w:sz w:val="20"/>
              </w:rPr>
              <w:t>年</w:t>
            </w:r>
            <w:r>
              <w:rPr>
                <w:rFonts w:ascii="calibri" w:hAnsi="calibri" w:cs="calibri" w:eastAsia="calibri"/>
                <w:sz w:val="20"/>
              </w:rPr>
              <w:t>3</w:t>
            </w:r>
            <w:r>
              <w:rPr>
                <w:rFonts w:ascii="宋体" w:hAnsi="宋体" w:cs="宋体" w:eastAsia="宋体"/>
                <w:sz w:val="20"/>
              </w:rPr>
              <w:t>月试行）等技术标准，通过</w:t>
            </w:r>
            <w:r>
              <w:rPr>
                <w:rFonts w:ascii="calibri" w:hAnsi="calibri" w:cs="calibri" w:eastAsia="calibri"/>
                <w:sz w:val="20"/>
              </w:rPr>
              <w:t>1:1</w:t>
            </w:r>
            <w:r>
              <w:rPr>
                <w:rFonts w:ascii="宋体" w:hAnsi="宋体" w:cs="宋体" w:eastAsia="宋体"/>
                <w:sz w:val="20"/>
              </w:rPr>
              <w:t>万地质灾害风险评价，摸清地质灾害隐患。要通过划分地质灾害风险区，提出地质灾害风险管控措施和国土空间用途管制建议，增加地质灾害评价的精度、广度、深度，推进地质灾害防治由隐患点监测转变为“隐患点</w:t>
            </w:r>
            <w:r>
              <w:rPr>
                <w:rFonts w:ascii="calibri" w:hAnsi="calibri" w:cs="calibri" w:eastAsia="calibri"/>
                <w:sz w:val="20"/>
              </w:rPr>
              <w:t>+</w:t>
            </w:r>
            <w:r>
              <w:rPr>
                <w:rFonts w:ascii="宋体" w:hAnsi="宋体" w:cs="宋体" w:eastAsia="宋体"/>
                <w:sz w:val="20"/>
              </w:rPr>
              <w:t>风险区双控。”</w:t>
            </w:r>
          </w:p>
          <w:p>
            <w:pPr>
              <w:pStyle w:val="null3"/>
            </w:pPr>
            <w:r>
              <w:rPr>
                <w:rFonts w:ascii="宋体" w:hAnsi="宋体" w:cs="宋体" w:eastAsia="宋体"/>
                <w:sz w:val="20"/>
              </w:rPr>
              <w:t>二、项目任务</w:t>
            </w:r>
          </w:p>
          <w:p>
            <w:pPr>
              <w:pStyle w:val="null3"/>
            </w:pPr>
            <w:r>
              <w:rPr>
                <w:rFonts w:ascii="宋体" w:hAnsi="宋体" w:cs="宋体" w:eastAsia="宋体"/>
                <w:sz w:val="20"/>
              </w:rPr>
              <w:t>（</w:t>
            </w:r>
            <w:r>
              <w:rPr>
                <w:rFonts w:ascii="calibri" w:hAnsi="calibri" w:cs="calibri" w:eastAsia="calibri"/>
                <w:sz w:val="20"/>
              </w:rPr>
              <w:t>1</w:t>
            </w:r>
            <w:r>
              <w:rPr>
                <w:rFonts w:ascii="宋体" w:hAnsi="宋体" w:cs="宋体" w:eastAsia="宋体"/>
                <w:sz w:val="20"/>
              </w:rPr>
              <w:t>）地质灾害孕灾地质环境条件调查。在资料收集的基础上，调查地形地貌、地层结构、地层岩性（易崩易滑地层）及岩土体结构、地质构造、水文地质等孕灾地质环境条件和气象水文、人类工程活动等引发因素。</w:t>
            </w:r>
          </w:p>
          <w:p>
            <w:pPr>
              <w:pStyle w:val="null3"/>
            </w:pPr>
            <w:r>
              <w:rPr>
                <w:rFonts w:ascii="宋体" w:hAnsi="宋体" w:cs="宋体" w:eastAsia="宋体"/>
                <w:sz w:val="20"/>
              </w:rPr>
              <w:t>（</w:t>
            </w:r>
            <w:r>
              <w:rPr>
                <w:rFonts w:ascii="calibri" w:hAnsi="calibri" w:cs="calibri" w:eastAsia="calibri"/>
                <w:sz w:val="20"/>
              </w:rPr>
              <w:t>2</w:t>
            </w:r>
            <w:r>
              <w:rPr>
                <w:rFonts w:ascii="宋体" w:hAnsi="宋体" w:cs="宋体" w:eastAsia="宋体"/>
                <w:sz w:val="20"/>
              </w:rPr>
              <w:t>）地质灾害及隐患调查。调查地质灾害历史灾情、调查遥感识别或其他方式发现的地质灾害隐患点、核查现有隐患点，总结地质灾害发育特征、危害情况及时空分布规律，分析区内典型地质灾害形成机理和成灾模式。</w:t>
            </w:r>
          </w:p>
          <w:p>
            <w:pPr>
              <w:pStyle w:val="null3"/>
            </w:pPr>
            <w:r>
              <w:rPr>
                <w:rFonts w:ascii="宋体" w:hAnsi="宋体" w:cs="宋体" w:eastAsia="宋体"/>
                <w:sz w:val="20"/>
              </w:rPr>
              <w:t>（</w:t>
            </w:r>
            <w:r>
              <w:rPr>
                <w:rFonts w:ascii="calibri" w:hAnsi="calibri" w:cs="calibri" w:eastAsia="calibri"/>
                <w:sz w:val="20"/>
              </w:rPr>
              <w:t>3</w:t>
            </w:r>
            <w:r>
              <w:rPr>
                <w:rFonts w:ascii="宋体" w:hAnsi="宋体" w:cs="宋体" w:eastAsia="宋体"/>
                <w:sz w:val="20"/>
              </w:rPr>
              <w:t>）承灾体调查。调查可能受地质灾害威胁的人员、建（构）筑物、道路等信息。</w:t>
            </w:r>
          </w:p>
          <w:p>
            <w:pPr>
              <w:pStyle w:val="null3"/>
            </w:pPr>
            <w:r>
              <w:rPr>
                <w:rFonts w:ascii="宋体" w:hAnsi="宋体" w:cs="宋体" w:eastAsia="宋体"/>
                <w:sz w:val="20"/>
              </w:rPr>
              <w:t>（</w:t>
            </w:r>
            <w:r>
              <w:rPr>
                <w:rFonts w:ascii="calibri" w:hAnsi="calibri" w:cs="calibri" w:eastAsia="calibri"/>
                <w:sz w:val="20"/>
              </w:rPr>
              <w:t>4</w:t>
            </w:r>
            <w:r>
              <w:rPr>
                <w:rFonts w:ascii="宋体" w:hAnsi="宋体" w:cs="宋体" w:eastAsia="宋体"/>
                <w:sz w:val="20"/>
              </w:rPr>
              <w:t>）单体地质灾害风险评价。在地质灾害隐患点、斜坡或沟谷调查、勘查的基础上，结合承灾体调查，定性或定量开展单体地质灾害风险评价。</w:t>
            </w:r>
          </w:p>
          <w:p>
            <w:pPr>
              <w:pStyle w:val="null3"/>
            </w:pPr>
            <w:r>
              <w:rPr>
                <w:rFonts w:ascii="宋体" w:hAnsi="宋体" w:cs="宋体" w:eastAsia="宋体"/>
                <w:sz w:val="20"/>
              </w:rPr>
              <w:t>（</w:t>
            </w:r>
            <w:r>
              <w:rPr>
                <w:rFonts w:ascii="calibri" w:hAnsi="calibri" w:cs="calibri" w:eastAsia="calibri"/>
                <w:sz w:val="20"/>
              </w:rPr>
              <w:t>5</w:t>
            </w:r>
            <w:r>
              <w:rPr>
                <w:rFonts w:ascii="宋体" w:hAnsi="宋体" w:cs="宋体" w:eastAsia="宋体"/>
                <w:sz w:val="20"/>
              </w:rPr>
              <w:t>）区域地质灾害风险评价。在地质灾害孕灾地质环境调查的基础上，以斜坡（沟谷）为单元开展地质灾害易发性、危险性评价，结合承灾体易损性评价，进行地质灾害风险评价，编制区域地质灾害风险评价相关图件。</w:t>
            </w:r>
          </w:p>
          <w:p>
            <w:pPr>
              <w:pStyle w:val="null3"/>
            </w:pPr>
            <w:r>
              <w:rPr>
                <w:rFonts w:ascii="宋体" w:hAnsi="宋体" w:cs="宋体" w:eastAsia="宋体"/>
                <w:sz w:val="20"/>
              </w:rPr>
              <w:t>（</w:t>
            </w:r>
            <w:r>
              <w:rPr>
                <w:rFonts w:ascii="calibri" w:hAnsi="calibri" w:cs="calibri" w:eastAsia="calibri"/>
                <w:sz w:val="20"/>
              </w:rPr>
              <w:t>6</w:t>
            </w:r>
            <w:r>
              <w:rPr>
                <w:rFonts w:ascii="宋体" w:hAnsi="宋体" w:cs="宋体" w:eastAsia="宋体"/>
                <w:sz w:val="20"/>
              </w:rPr>
              <w:t>）根据单体地质灾害风险评价和区域地质灾害风险评价结果，提出地质灾害防治与风险管控对策建议。</w:t>
            </w:r>
          </w:p>
          <w:p>
            <w:pPr>
              <w:pStyle w:val="null3"/>
            </w:pPr>
            <w:r>
              <w:rPr>
                <w:rFonts w:ascii="宋体" w:hAnsi="宋体" w:cs="宋体" w:eastAsia="宋体"/>
                <w:sz w:val="20"/>
              </w:rPr>
              <w:t>（</w:t>
            </w:r>
            <w:r>
              <w:rPr>
                <w:rFonts w:ascii="calibri" w:hAnsi="calibri" w:cs="calibri" w:eastAsia="calibri"/>
                <w:sz w:val="20"/>
              </w:rPr>
              <w:t>7</w:t>
            </w:r>
            <w:r>
              <w:rPr>
                <w:rFonts w:ascii="宋体" w:hAnsi="宋体" w:cs="宋体" w:eastAsia="宋体"/>
                <w:sz w:val="20"/>
              </w:rPr>
              <w:t>）编制地质灾害风险调查评价成果报告及其附图、附件，建立地质灾害风险调查评价数据库。</w:t>
            </w:r>
          </w:p>
          <w:p>
            <w:pPr>
              <w:pStyle w:val="null3"/>
            </w:pPr>
            <w:r>
              <w:rPr>
                <w:rFonts w:ascii="宋体" w:hAnsi="宋体" w:cs="宋体" w:eastAsia="宋体"/>
                <w:sz w:val="20"/>
              </w:rPr>
              <w:t>三、主要技术指标</w:t>
            </w:r>
          </w:p>
          <w:p>
            <w:pPr>
              <w:pStyle w:val="null3"/>
            </w:pPr>
            <w:r>
              <w:rPr>
                <w:rFonts w:ascii="calibri" w:hAnsi="calibri" w:cs="calibri" w:eastAsia="calibri"/>
                <w:sz w:val="20"/>
              </w:rPr>
              <w:t>1</w:t>
            </w:r>
            <w:r>
              <w:rPr>
                <w:rFonts w:ascii="宋体" w:hAnsi="宋体" w:cs="宋体" w:eastAsia="宋体"/>
                <w:sz w:val="20"/>
              </w:rPr>
              <w:t>、技术依据</w:t>
            </w:r>
          </w:p>
          <w:p>
            <w:pPr>
              <w:pStyle w:val="null3"/>
            </w:pPr>
            <w:r>
              <w:rPr>
                <w:rFonts w:ascii="宋体" w:hAnsi="宋体" w:cs="宋体" w:eastAsia="宋体"/>
                <w:sz w:val="20"/>
              </w:rPr>
              <w:t>（</w:t>
            </w:r>
            <w:r>
              <w:rPr>
                <w:rFonts w:ascii="calibri" w:hAnsi="calibri" w:cs="calibri" w:eastAsia="calibri"/>
                <w:sz w:val="20"/>
              </w:rPr>
              <w:t>1</w:t>
            </w:r>
            <w:r>
              <w:rPr>
                <w:rFonts w:ascii="宋体" w:hAnsi="宋体" w:cs="宋体" w:eastAsia="宋体"/>
                <w:sz w:val="20"/>
              </w:rPr>
              <w:t>）《陕西省城镇</w:t>
            </w:r>
            <w:r>
              <w:rPr>
                <w:rFonts w:ascii="calibri" w:hAnsi="calibri" w:cs="calibri" w:eastAsia="calibri"/>
                <w:sz w:val="20"/>
              </w:rPr>
              <w:t>(</w:t>
            </w:r>
            <w:r>
              <w:rPr>
                <w:rFonts w:ascii="宋体" w:hAnsi="宋体" w:cs="宋体" w:eastAsia="宋体"/>
                <w:sz w:val="20"/>
              </w:rPr>
              <w:t>乡镇</w:t>
            </w:r>
            <w:r>
              <w:rPr>
                <w:rFonts w:ascii="calibri" w:hAnsi="calibri" w:cs="calibri" w:eastAsia="calibri"/>
                <w:sz w:val="20"/>
              </w:rPr>
              <w:t>)</w:t>
            </w:r>
            <w:r>
              <w:rPr>
                <w:rFonts w:ascii="宋体" w:hAnsi="宋体" w:cs="宋体" w:eastAsia="宋体"/>
                <w:sz w:val="20"/>
              </w:rPr>
              <w:t>地质灾害风险调查评价技术要求</w:t>
            </w:r>
            <w:r>
              <w:rPr>
                <w:rFonts w:ascii="calibri" w:hAnsi="calibri" w:cs="calibri" w:eastAsia="calibri"/>
                <w:sz w:val="20"/>
              </w:rPr>
              <w:t>(1:10000)(</w:t>
            </w:r>
            <w:r>
              <w:rPr>
                <w:rFonts w:ascii="宋体" w:hAnsi="宋体" w:cs="宋体" w:eastAsia="宋体"/>
                <w:sz w:val="20"/>
              </w:rPr>
              <w:t>试行</w:t>
            </w:r>
            <w:r>
              <w:rPr>
                <w:rFonts w:ascii="calibri" w:hAnsi="calibri" w:cs="calibri" w:eastAsia="calibri"/>
                <w:sz w:val="20"/>
              </w:rPr>
              <w:t>)</w:t>
            </w:r>
            <w:r>
              <w:rPr>
                <w:rFonts w:ascii="宋体" w:hAnsi="宋体" w:cs="宋体" w:eastAsia="宋体"/>
                <w:sz w:val="20"/>
              </w:rPr>
              <w:t>》</w:t>
            </w:r>
            <w:r>
              <w:rPr>
                <w:rFonts w:ascii="calibri" w:hAnsi="calibri" w:cs="calibri" w:eastAsia="calibri"/>
                <w:sz w:val="20"/>
              </w:rPr>
              <w:t>(</w:t>
            </w:r>
            <w:r>
              <w:rPr>
                <w:rFonts w:ascii="宋体" w:hAnsi="宋体" w:cs="宋体" w:eastAsia="宋体"/>
                <w:sz w:val="20"/>
              </w:rPr>
              <w:t>陕西省自然资源厅</w:t>
            </w:r>
            <w:r>
              <w:rPr>
                <w:rFonts w:ascii="calibri" w:hAnsi="calibri" w:cs="calibri" w:eastAsia="calibri"/>
                <w:sz w:val="20"/>
              </w:rPr>
              <w:t>,2022</w:t>
            </w:r>
            <w:r>
              <w:rPr>
                <w:rFonts w:ascii="宋体" w:hAnsi="宋体" w:cs="宋体" w:eastAsia="宋体"/>
                <w:sz w:val="20"/>
              </w:rPr>
              <w:t>年</w:t>
            </w:r>
            <w:r>
              <w:rPr>
                <w:rFonts w:ascii="calibri" w:hAnsi="calibri" w:cs="calibri" w:eastAsia="calibri"/>
                <w:sz w:val="20"/>
              </w:rPr>
              <w:t>6</w:t>
            </w:r>
            <w:r>
              <w:rPr>
                <w:rFonts w:ascii="宋体" w:hAnsi="宋体" w:cs="宋体" w:eastAsia="宋体"/>
                <w:sz w:val="20"/>
              </w:rPr>
              <w:t>月</w:t>
            </w:r>
            <w:r>
              <w:rPr>
                <w:rFonts w:ascii="calibri" w:hAnsi="calibri" w:cs="calibri" w:eastAsia="calibri"/>
                <w:sz w:val="20"/>
              </w:rPr>
              <w:t>)</w:t>
            </w:r>
            <w:r>
              <w:rPr>
                <w:rFonts w:ascii="宋体" w:hAnsi="宋体" w:cs="宋体" w:eastAsia="宋体"/>
                <w:sz w:val="20"/>
              </w:rPr>
              <w:t>；</w:t>
            </w:r>
          </w:p>
          <w:p>
            <w:pPr>
              <w:pStyle w:val="null3"/>
            </w:pPr>
            <w:r>
              <w:rPr>
                <w:rFonts w:ascii="宋体" w:hAnsi="宋体" w:cs="宋体" w:eastAsia="宋体"/>
                <w:sz w:val="20"/>
              </w:rPr>
              <w:t>（</w:t>
            </w:r>
            <w:r>
              <w:rPr>
                <w:rFonts w:ascii="calibri" w:hAnsi="calibri" w:cs="calibri" w:eastAsia="calibri"/>
                <w:sz w:val="20"/>
              </w:rPr>
              <w:t>2</w:t>
            </w:r>
            <w:r>
              <w:rPr>
                <w:rFonts w:ascii="宋体" w:hAnsi="宋体" w:cs="宋体" w:eastAsia="宋体"/>
                <w:sz w:val="20"/>
              </w:rPr>
              <w:t>）《</w:t>
            </w:r>
            <w:r>
              <w:rPr>
                <w:rFonts w:ascii="calibri" w:hAnsi="calibri" w:cs="calibri" w:eastAsia="calibri"/>
                <w:sz w:val="20"/>
              </w:rPr>
              <w:t>1:10000</w:t>
            </w:r>
            <w:r>
              <w:rPr>
                <w:rFonts w:ascii="宋体" w:hAnsi="宋体" w:cs="宋体" w:eastAsia="宋体"/>
                <w:sz w:val="20"/>
              </w:rPr>
              <w:t>城镇</w:t>
            </w:r>
            <w:r>
              <w:rPr>
                <w:rFonts w:ascii="calibri" w:hAnsi="calibri" w:cs="calibri" w:eastAsia="calibri"/>
                <w:sz w:val="20"/>
              </w:rPr>
              <w:t>(</w:t>
            </w:r>
            <w:r>
              <w:rPr>
                <w:rFonts w:ascii="宋体" w:hAnsi="宋体" w:cs="宋体" w:eastAsia="宋体"/>
                <w:sz w:val="20"/>
              </w:rPr>
              <w:t>乡镇</w:t>
            </w:r>
            <w:r>
              <w:rPr>
                <w:rFonts w:ascii="calibri" w:hAnsi="calibri" w:cs="calibri" w:eastAsia="calibri"/>
                <w:sz w:val="20"/>
              </w:rPr>
              <w:t>)</w:t>
            </w:r>
            <w:r>
              <w:rPr>
                <w:rFonts w:ascii="宋体" w:hAnsi="宋体" w:cs="宋体" w:eastAsia="宋体"/>
                <w:sz w:val="20"/>
              </w:rPr>
              <w:t>地质灾害风险调查评价项目验收要求》</w:t>
            </w:r>
            <w:r>
              <w:rPr>
                <w:rFonts w:ascii="calibri" w:hAnsi="calibri" w:cs="calibri" w:eastAsia="calibri"/>
                <w:sz w:val="20"/>
              </w:rPr>
              <w:t>(</w:t>
            </w:r>
            <w:r>
              <w:rPr>
                <w:rFonts w:ascii="宋体" w:hAnsi="宋体" w:cs="宋体" w:eastAsia="宋体"/>
                <w:sz w:val="20"/>
              </w:rPr>
              <w:t>陕西省自然资源厅</w:t>
            </w:r>
            <w:r>
              <w:rPr>
                <w:rFonts w:ascii="calibri" w:hAnsi="calibri" w:cs="calibri" w:eastAsia="calibri"/>
                <w:sz w:val="20"/>
              </w:rPr>
              <w:t>,2021</w:t>
            </w:r>
            <w:r>
              <w:rPr>
                <w:rFonts w:ascii="宋体" w:hAnsi="宋体" w:cs="宋体" w:eastAsia="宋体"/>
                <w:sz w:val="20"/>
              </w:rPr>
              <w:t>年</w:t>
            </w:r>
            <w:r>
              <w:rPr>
                <w:rFonts w:ascii="calibri" w:hAnsi="calibri" w:cs="calibri" w:eastAsia="calibri"/>
                <w:sz w:val="20"/>
              </w:rPr>
              <w:t>6</w:t>
            </w:r>
            <w:r>
              <w:rPr>
                <w:rFonts w:ascii="宋体" w:hAnsi="宋体" w:cs="宋体" w:eastAsia="宋体"/>
                <w:sz w:val="20"/>
              </w:rPr>
              <w:t>月</w:t>
            </w:r>
            <w:r>
              <w:rPr>
                <w:rFonts w:ascii="calibri" w:hAnsi="calibri" w:cs="calibri" w:eastAsia="calibri"/>
                <w:sz w:val="20"/>
              </w:rPr>
              <w:t>)</w:t>
            </w:r>
            <w:r>
              <w:rPr>
                <w:rFonts w:ascii="宋体" w:hAnsi="宋体" w:cs="宋体" w:eastAsia="宋体"/>
                <w:sz w:val="20"/>
              </w:rPr>
              <w:t>；</w:t>
            </w:r>
          </w:p>
          <w:p>
            <w:pPr>
              <w:pStyle w:val="null3"/>
            </w:pPr>
            <w:r>
              <w:rPr>
                <w:rFonts w:ascii="宋体" w:hAnsi="宋体" w:cs="宋体" w:eastAsia="宋体"/>
                <w:sz w:val="20"/>
              </w:rPr>
              <w:t>（</w:t>
            </w:r>
            <w:r>
              <w:rPr>
                <w:rFonts w:ascii="calibri" w:hAnsi="calibri" w:cs="calibri" w:eastAsia="calibri"/>
                <w:sz w:val="20"/>
              </w:rPr>
              <w:t>3</w:t>
            </w:r>
            <w:r>
              <w:rPr>
                <w:rFonts w:ascii="宋体" w:hAnsi="宋体" w:cs="宋体" w:eastAsia="宋体"/>
                <w:sz w:val="20"/>
              </w:rPr>
              <w:t>）《地质灾害排查规范》（</w:t>
            </w:r>
            <w:r>
              <w:rPr>
                <w:rFonts w:ascii="calibri" w:hAnsi="calibri" w:cs="calibri" w:eastAsia="calibri"/>
                <w:sz w:val="20"/>
              </w:rPr>
              <w:t>DZ/T0284-2015</w:t>
            </w:r>
            <w:r>
              <w:rPr>
                <w:rFonts w:ascii="宋体" w:hAnsi="宋体" w:cs="宋体" w:eastAsia="宋体"/>
                <w:sz w:val="20"/>
              </w:rPr>
              <w:t>）；</w:t>
            </w:r>
          </w:p>
          <w:p>
            <w:pPr>
              <w:pStyle w:val="null3"/>
            </w:pPr>
            <w:r>
              <w:rPr>
                <w:rFonts w:ascii="宋体" w:hAnsi="宋体" w:cs="宋体" w:eastAsia="宋体"/>
                <w:sz w:val="20"/>
              </w:rPr>
              <w:t>（</w:t>
            </w:r>
            <w:r>
              <w:rPr>
                <w:rFonts w:ascii="calibri" w:hAnsi="calibri" w:cs="calibri" w:eastAsia="calibri"/>
                <w:sz w:val="20"/>
              </w:rPr>
              <w:t>4</w:t>
            </w:r>
            <w:r>
              <w:rPr>
                <w:rFonts w:ascii="宋体" w:hAnsi="宋体" w:cs="宋体" w:eastAsia="宋体"/>
                <w:sz w:val="20"/>
              </w:rPr>
              <w:t>）《地质灾害风险调查评价技术要求（试行）》；</w:t>
            </w:r>
          </w:p>
          <w:p>
            <w:pPr>
              <w:pStyle w:val="null3"/>
            </w:pPr>
            <w:r>
              <w:rPr>
                <w:rFonts w:ascii="宋体" w:hAnsi="宋体" w:cs="宋体" w:eastAsia="宋体"/>
                <w:sz w:val="20"/>
              </w:rPr>
              <w:t>（</w:t>
            </w:r>
            <w:r>
              <w:rPr>
                <w:rFonts w:ascii="calibri" w:hAnsi="calibri" w:cs="calibri" w:eastAsia="calibri"/>
                <w:sz w:val="20"/>
              </w:rPr>
              <w:t>5</w:t>
            </w:r>
            <w:r>
              <w:rPr>
                <w:rFonts w:ascii="宋体" w:hAnsi="宋体" w:cs="宋体" w:eastAsia="宋体"/>
                <w:sz w:val="20"/>
              </w:rPr>
              <w:t>）《陕西省地质灾害综合防治体系建设要求（试行）》；</w:t>
            </w:r>
          </w:p>
          <w:p>
            <w:pPr>
              <w:pStyle w:val="null3"/>
            </w:pPr>
            <w:r>
              <w:rPr>
                <w:rFonts w:ascii="宋体" w:hAnsi="宋体" w:cs="宋体" w:eastAsia="宋体"/>
                <w:sz w:val="20"/>
              </w:rPr>
              <w:t>（</w:t>
            </w:r>
            <w:r>
              <w:rPr>
                <w:rFonts w:ascii="calibri" w:hAnsi="calibri" w:cs="calibri" w:eastAsia="calibri"/>
                <w:sz w:val="20"/>
              </w:rPr>
              <w:t>6</w:t>
            </w:r>
            <w:r>
              <w:rPr>
                <w:rFonts w:ascii="宋体" w:hAnsi="宋体" w:cs="宋体" w:eastAsia="宋体"/>
                <w:sz w:val="20"/>
              </w:rPr>
              <w:t>）按照《陕西省自然资源厅关于加强地质灾害风险调查评价项目管理和隐患点动态更新工作的通知》</w:t>
            </w:r>
            <w:r>
              <w:rPr>
                <w:rFonts w:ascii="calibri" w:hAnsi="calibri" w:cs="calibri" w:eastAsia="calibri"/>
                <w:sz w:val="20"/>
              </w:rPr>
              <w:t>(</w:t>
            </w:r>
            <w:r>
              <w:rPr>
                <w:rFonts w:ascii="宋体" w:hAnsi="宋体" w:cs="宋体" w:eastAsia="宋体"/>
                <w:sz w:val="20"/>
              </w:rPr>
              <w:t>陕自然资勘发</w:t>
            </w:r>
            <w:r>
              <w:rPr>
                <w:rFonts w:ascii="calibri" w:hAnsi="calibri" w:cs="calibri" w:eastAsia="calibri"/>
                <w:sz w:val="20"/>
              </w:rPr>
              <w:t>[2020]20</w:t>
            </w:r>
            <w:r>
              <w:rPr>
                <w:rFonts w:ascii="宋体" w:hAnsi="宋体" w:cs="宋体" w:eastAsia="宋体"/>
                <w:sz w:val="20"/>
              </w:rPr>
              <w:t>号</w:t>
            </w:r>
            <w:r>
              <w:rPr>
                <w:rFonts w:ascii="calibri" w:hAnsi="calibri" w:cs="calibri" w:eastAsia="calibri"/>
                <w:sz w:val="20"/>
              </w:rPr>
              <w:t>)</w:t>
            </w:r>
            <w:r>
              <w:rPr>
                <w:rFonts w:ascii="宋体" w:hAnsi="宋体" w:cs="宋体" w:eastAsia="宋体"/>
                <w:sz w:val="20"/>
              </w:rPr>
              <w:t>要求，开展风险调查评价部分内容；</w:t>
            </w:r>
          </w:p>
          <w:p>
            <w:pPr>
              <w:pStyle w:val="null3"/>
            </w:pPr>
            <w:r>
              <w:rPr>
                <w:rFonts w:ascii="宋体" w:hAnsi="宋体" w:cs="宋体" w:eastAsia="宋体"/>
                <w:sz w:val="20"/>
              </w:rPr>
              <w:t>（</w:t>
            </w:r>
            <w:r>
              <w:rPr>
                <w:rFonts w:ascii="calibri" w:hAnsi="calibri" w:cs="calibri" w:eastAsia="calibri"/>
                <w:sz w:val="20"/>
              </w:rPr>
              <w:t>7</w:t>
            </w:r>
            <w:r>
              <w:rPr>
                <w:rFonts w:ascii="宋体" w:hAnsi="宋体" w:cs="宋体" w:eastAsia="宋体"/>
                <w:sz w:val="20"/>
              </w:rPr>
              <w:t>）省自然资源厅发布的开展地质灾害风险调查评价要求的其他文件。</w:t>
            </w:r>
          </w:p>
          <w:p>
            <w:pPr>
              <w:pStyle w:val="null3"/>
            </w:pPr>
            <w:r>
              <w:rPr>
                <w:rFonts w:ascii="calibri" w:hAnsi="calibri" w:cs="calibri" w:eastAsia="calibri"/>
                <w:sz w:val="20"/>
              </w:rPr>
              <w:t>2</w:t>
            </w:r>
            <w:r>
              <w:rPr>
                <w:rFonts w:ascii="宋体" w:hAnsi="宋体" w:cs="宋体" w:eastAsia="宋体"/>
                <w:sz w:val="20"/>
              </w:rPr>
              <w:t>、成果报告</w:t>
            </w:r>
          </w:p>
          <w:p>
            <w:pPr>
              <w:pStyle w:val="null3"/>
            </w:pPr>
            <w:r>
              <w:rPr>
                <w:rFonts w:ascii="宋体" w:hAnsi="宋体" w:cs="宋体" w:eastAsia="宋体"/>
                <w:sz w:val="20"/>
              </w:rPr>
              <w:t>（</w:t>
            </w:r>
            <w:r>
              <w:rPr>
                <w:rFonts w:ascii="calibri" w:hAnsi="calibri" w:cs="calibri" w:eastAsia="calibri"/>
                <w:sz w:val="20"/>
              </w:rPr>
              <w:t>1</w:t>
            </w:r>
            <w:r>
              <w:rPr>
                <w:rFonts w:ascii="宋体" w:hAnsi="宋体" w:cs="宋体" w:eastAsia="宋体"/>
                <w:sz w:val="20"/>
              </w:rPr>
              <w:t>）成果报告应全面、系统、客观的反映工作区的工作情况和工作成果，内容应简明扼要，重点突出，论证充分，结论明确、附图附表齐全，图件清晰美观，文、图表统一。</w:t>
            </w:r>
          </w:p>
          <w:p>
            <w:pPr>
              <w:pStyle w:val="null3"/>
            </w:pPr>
            <w:r>
              <w:rPr>
                <w:rFonts w:ascii="宋体" w:hAnsi="宋体" w:cs="宋体" w:eastAsia="宋体"/>
                <w:sz w:val="20"/>
              </w:rPr>
              <w:t>（</w:t>
            </w:r>
            <w:r>
              <w:rPr>
                <w:rFonts w:ascii="calibri" w:hAnsi="calibri" w:cs="calibri" w:eastAsia="calibri"/>
                <w:sz w:val="20"/>
              </w:rPr>
              <w:t>2</w:t>
            </w:r>
            <w:r>
              <w:rPr>
                <w:rFonts w:ascii="宋体" w:hAnsi="宋体" w:cs="宋体" w:eastAsia="宋体"/>
                <w:sz w:val="20"/>
              </w:rPr>
              <w:t>）成果报告应包括文字报告、成果图件、数据库和相关附表等。</w:t>
            </w:r>
          </w:p>
          <w:p>
            <w:pPr>
              <w:pStyle w:val="null3"/>
            </w:pPr>
            <w:r>
              <w:rPr>
                <w:rFonts w:ascii="calibri" w:hAnsi="calibri" w:cs="calibri" w:eastAsia="calibri"/>
                <w:sz w:val="20"/>
              </w:rPr>
              <w:t>3</w:t>
            </w:r>
            <w:r>
              <w:rPr>
                <w:rFonts w:ascii="宋体" w:hAnsi="宋体" w:cs="宋体" w:eastAsia="宋体"/>
                <w:sz w:val="20"/>
              </w:rPr>
              <w:t>、技术要求</w:t>
            </w:r>
          </w:p>
          <w:p>
            <w:pPr>
              <w:pStyle w:val="null3"/>
            </w:pPr>
            <w:r>
              <w:rPr>
                <w:rFonts w:ascii="宋体" w:hAnsi="宋体" w:cs="宋体" w:eastAsia="宋体"/>
                <w:sz w:val="20"/>
              </w:rPr>
              <w:t>（</w:t>
            </w:r>
            <w:r>
              <w:rPr>
                <w:rFonts w:ascii="calibri" w:hAnsi="calibri" w:cs="calibri" w:eastAsia="calibri"/>
                <w:sz w:val="20"/>
              </w:rPr>
              <w:t>1</w:t>
            </w:r>
            <w:r>
              <w:rPr>
                <w:rFonts w:ascii="宋体" w:hAnsi="宋体" w:cs="宋体" w:eastAsia="宋体"/>
                <w:sz w:val="20"/>
              </w:rPr>
              <w:t>）野外调查工作手图采用比例尺</w:t>
            </w:r>
            <w:r>
              <w:rPr>
                <w:rFonts w:ascii="calibri" w:hAnsi="calibri" w:cs="calibri" w:eastAsia="calibri"/>
                <w:sz w:val="20"/>
              </w:rPr>
              <w:t>1:10000</w:t>
            </w:r>
            <w:r>
              <w:rPr>
                <w:rFonts w:ascii="宋体" w:hAnsi="宋体" w:cs="宋体" w:eastAsia="宋体"/>
                <w:sz w:val="20"/>
              </w:rPr>
              <w:t>地形图。城镇地质灾害调查应按照</w:t>
            </w:r>
            <w:r>
              <w:rPr>
                <w:rFonts w:ascii="calibri" w:hAnsi="calibri" w:cs="calibri" w:eastAsia="calibri"/>
                <w:sz w:val="20"/>
              </w:rPr>
              <w:t>1:10000</w:t>
            </w:r>
            <w:r>
              <w:rPr>
                <w:rFonts w:ascii="宋体" w:hAnsi="宋体" w:cs="宋体" w:eastAsia="宋体"/>
                <w:sz w:val="20"/>
              </w:rPr>
              <w:t>比例尺进行地质测绘，且应使用不小于</w:t>
            </w:r>
            <w:r>
              <w:rPr>
                <w:rFonts w:ascii="calibri" w:hAnsi="calibri" w:cs="calibri" w:eastAsia="calibri"/>
                <w:sz w:val="20"/>
              </w:rPr>
              <w:t>1:10000</w:t>
            </w:r>
            <w:r>
              <w:rPr>
                <w:rFonts w:ascii="宋体" w:hAnsi="宋体" w:cs="宋体" w:eastAsia="宋体"/>
                <w:sz w:val="20"/>
              </w:rPr>
              <w:t>的地形图作为野外底图。</w:t>
            </w:r>
          </w:p>
          <w:p>
            <w:pPr>
              <w:pStyle w:val="null3"/>
            </w:pPr>
            <w:r>
              <w:rPr>
                <w:rFonts w:ascii="宋体" w:hAnsi="宋体" w:cs="宋体" w:eastAsia="宋体"/>
                <w:sz w:val="20"/>
              </w:rPr>
              <w:t>（</w:t>
            </w:r>
            <w:r>
              <w:rPr>
                <w:rFonts w:ascii="calibri" w:hAnsi="calibri" w:cs="calibri" w:eastAsia="calibri"/>
                <w:sz w:val="20"/>
              </w:rPr>
              <w:t>2</w:t>
            </w:r>
            <w:r>
              <w:rPr>
                <w:rFonts w:ascii="宋体" w:hAnsi="宋体" w:cs="宋体" w:eastAsia="宋体"/>
                <w:sz w:val="20"/>
              </w:rPr>
              <w:t>）重大地质灾害隐患参照规范要求进行地质测绘。</w:t>
            </w:r>
          </w:p>
          <w:p>
            <w:pPr>
              <w:pStyle w:val="null3"/>
            </w:pPr>
            <w:r>
              <w:rPr>
                <w:rFonts w:ascii="宋体" w:hAnsi="宋体" w:cs="宋体" w:eastAsia="宋体"/>
                <w:sz w:val="20"/>
              </w:rPr>
              <w:t>（</w:t>
            </w:r>
            <w:r>
              <w:rPr>
                <w:rFonts w:ascii="calibri" w:hAnsi="calibri" w:cs="calibri" w:eastAsia="calibri"/>
                <w:sz w:val="20"/>
              </w:rPr>
              <w:t>3</w:t>
            </w:r>
            <w:r>
              <w:rPr>
                <w:rFonts w:ascii="宋体" w:hAnsi="宋体" w:cs="宋体" w:eastAsia="宋体"/>
                <w:sz w:val="20"/>
              </w:rPr>
              <w:t>）城镇地质灾害评价与区划的内容宜包括地质灾害危险性和风险性评价与区划等内容。</w:t>
            </w:r>
          </w:p>
          <w:p>
            <w:pPr>
              <w:pStyle w:val="null3"/>
            </w:pPr>
            <w:r>
              <w:rPr>
                <w:rFonts w:ascii="宋体" w:hAnsi="宋体" w:cs="宋体" w:eastAsia="宋体"/>
                <w:sz w:val="20"/>
              </w:rPr>
              <w:t>四、提交成果内容</w:t>
            </w:r>
          </w:p>
          <w:p>
            <w:pPr>
              <w:pStyle w:val="null3"/>
            </w:pPr>
            <w:r>
              <w:rPr>
                <w:rFonts w:ascii="宋体" w:hAnsi="宋体" w:cs="宋体" w:eastAsia="宋体"/>
                <w:sz w:val="20"/>
              </w:rPr>
              <w:t>（</w:t>
            </w:r>
            <w:r>
              <w:rPr>
                <w:rFonts w:ascii="calibri" w:hAnsi="calibri" w:cs="calibri" w:eastAsia="calibri"/>
                <w:sz w:val="20"/>
              </w:rPr>
              <w:t>1</w:t>
            </w:r>
            <w:r>
              <w:rPr>
                <w:rFonts w:ascii="宋体" w:hAnsi="宋体" w:cs="宋体" w:eastAsia="宋体"/>
                <w:sz w:val="20"/>
              </w:rPr>
              <w:t>）</w:t>
            </w:r>
            <w:r>
              <w:rPr>
                <w:rFonts w:ascii="宋体" w:hAnsi="宋体" w:cs="宋体" w:eastAsia="宋体"/>
                <w:sz w:val="20"/>
              </w:rPr>
              <w:t>长安区引镇街道、杨庄街道、王莽街道地质灾害风险调查评价</w:t>
            </w:r>
            <w:r>
              <w:rPr>
                <w:rFonts w:ascii="宋体" w:hAnsi="宋体" w:cs="宋体" w:eastAsia="宋体"/>
                <w:sz w:val="20"/>
              </w:rPr>
              <w:t>设计书及附图（图件比例尺不小于</w:t>
            </w:r>
            <w:r>
              <w:rPr>
                <w:rFonts w:ascii="calibri" w:hAnsi="calibri" w:cs="calibri" w:eastAsia="calibri"/>
                <w:sz w:val="20"/>
              </w:rPr>
              <w:t>1:10000</w:t>
            </w:r>
            <w:r>
              <w:rPr>
                <w:rFonts w:ascii="宋体" w:hAnsi="宋体" w:cs="宋体" w:eastAsia="宋体"/>
                <w:sz w:val="20"/>
              </w:rPr>
              <w:t>）。</w:t>
            </w:r>
          </w:p>
          <w:p>
            <w:pPr>
              <w:pStyle w:val="null3"/>
            </w:pPr>
            <w:r>
              <w:rPr>
                <w:rFonts w:ascii="宋体" w:hAnsi="宋体" w:cs="宋体" w:eastAsia="宋体"/>
                <w:sz w:val="20"/>
              </w:rPr>
              <w:t>（</w:t>
            </w:r>
            <w:r>
              <w:rPr>
                <w:rFonts w:ascii="calibri" w:hAnsi="calibri" w:cs="calibri" w:eastAsia="calibri"/>
                <w:sz w:val="20"/>
              </w:rPr>
              <w:t>2</w:t>
            </w:r>
            <w:r>
              <w:rPr>
                <w:rFonts w:ascii="宋体" w:hAnsi="宋体" w:cs="宋体" w:eastAsia="宋体"/>
                <w:sz w:val="20"/>
              </w:rPr>
              <w:t>）</w:t>
            </w:r>
            <w:r>
              <w:rPr>
                <w:rFonts w:ascii="宋体" w:hAnsi="宋体" w:cs="宋体" w:eastAsia="宋体"/>
                <w:sz w:val="20"/>
              </w:rPr>
              <w:t>长安区引镇街道、杨庄街道、王莽街道地质灾害风险调查评价</w:t>
            </w:r>
            <w:r>
              <w:rPr>
                <w:rFonts w:ascii="宋体" w:hAnsi="宋体" w:cs="宋体" w:eastAsia="宋体"/>
                <w:sz w:val="20"/>
              </w:rPr>
              <w:t>成果报告及附件（附图、附表和照片集）（图件比例尺不小于</w:t>
            </w:r>
            <w:r>
              <w:rPr>
                <w:rFonts w:ascii="calibri" w:hAnsi="calibri" w:cs="calibri" w:eastAsia="calibri"/>
                <w:sz w:val="20"/>
              </w:rPr>
              <w:t>1:10000</w:t>
            </w:r>
            <w:r>
              <w:rPr>
                <w:rFonts w:ascii="宋体" w:hAnsi="宋体" w:cs="宋体" w:eastAsia="宋体"/>
                <w:sz w:val="20"/>
              </w:rPr>
              <w:t>）。</w:t>
            </w:r>
          </w:p>
          <w:p>
            <w:pPr>
              <w:pStyle w:val="null3"/>
              <w:jc w:val="both"/>
            </w:pPr>
            <w:r>
              <w:rPr>
                <w:rFonts w:ascii="宋体" w:hAnsi="宋体" w:cs="宋体" w:eastAsia="宋体"/>
                <w:sz w:val="20"/>
              </w:rPr>
              <w:t>（</w:t>
            </w:r>
            <w:r>
              <w:rPr>
                <w:rFonts w:ascii="calibri" w:hAnsi="calibri" w:cs="calibri" w:eastAsia="calibri"/>
                <w:sz w:val="20"/>
              </w:rPr>
              <w:t>3</w:t>
            </w:r>
            <w:r>
              <w:rPr>
                <w:rFonts w:ascii="宋体" w:hAnsi="宋体" w:cs="宋体" w:eastAsia="宋体"/>
                <w:sz w:val="20"/>
              </w:rPr>
              <w:t>）完善更新地质灾害风险评价数据库，分类汇总各级安全风险点，建立完整的风险点档案。</w:t>
            </w:r>
          </w:p>
        </w:tc>
      </w:tr>
    </w:tbl>
    <w:p>
      <w:pPr>
        <w:pStyle w:val="null3"/>
        <w:outlineLvl w:val="2"/>
      </w:pPr>
      <w:r>
        <w:rPr>
          <w:b/>
          <w:sz w:val="28"/>
        </w:rPr>
        <w:t>3.2.3人员配置要求</w:t>
      </w:r>
    </w:p>
    <w:p>
      <w:pPr>
        <w:pStyle w:val="null3"/>
      </w:pPr>
      <w:r>
        <w:rPr/>
        <w:t>采购包1：</w:t>
      </w:r>
    </w:p>
    <w:p>
      <w:pPr>
        <w:pStyle w:val="null3"/>
      </w:pPr>
      <w:r>
        <w:rPr/>
        <w:t>达到服务要求所必须的人员</w:t>
      </w:r>
    </w:p>
    <w:p>
      <w:pPr>
        <w:pStyle w:val="null3"/>
        <w:outlineLvl w:val="2"/>
      </w:pPr>
      <w:r>
        <w:rPr>
          <w:b/>
          <w:sz w:val="28"/>
        </w:rPr>
        <w:t>3.2.4设施设备要求</w:t>
      </w:r>
    </w:p>
    <w:p>
      <w:pPr>
        <w:pStyle w:val="null3"/>
      </w:pPr>
      <w:r>
        <w:rPr/>
        <w:t>采购包1：</w:t>
      </w:r>
    </w:p>
    <w:p>
      <w:pPr>
        <w:pStyle w:val="null3"/>
      </w:pPr>
      <w:r>
        <w:rPr/>
        <w:t>达到服务要求所必须的设备</w:t>
      </w:r>
    </w:p>
    <w:p>
      <w:pPr>
        <w:pStyle w:val="null3"/>
        <w:outlineLvl w:val="2"/>
      </w:pPr>
      <w:r>
        <w:rPr>
          <w:b/>
          <w:sz w:val="28"/>
        </w:rPr>
        <w:t>3.2.5其他要求</w:t>
      </w:r>
    </w:p>
    <w:p>
      <w:pPr>
        <w:pStyle w:val="null3"/>
      </w:pPr>
      <w:r>
        <w:rPr/>
        <w:t>采购包1：</w:t>
      </w:r>
    </w:p>
    <w:p>
      <w:pPr>
        <w:pStyle w:val="null3"/>
      </w:pPr>
      <w:r>
        <w:rPr/>
        <w:t>成交供应商应保证采购人在使用所涉技术方案或其任何一部分技术资料时，免受第三 方提出侵犯其专利权、商标权或工业设计权等知识产权的起诉。如果发生诉讼，所有费用和责任由成交供应商承担。</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自合同签订之日起240个日历日内</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国家相应的标准、规范</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野外验收合格后</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成果资料提交后进行终审验收，终审验收合格</w:t>
      </w:r>
      <w:r>
        <w:rPr/>
        <w:t xml:space="preserve"> ，达到付款条件起 </w:t>
      </w:r>
      <w:r>
        <w:rPr/>
        <w:t>30</w:t>
      </w:r>
      <w:r>
        <w:rPr/>
        <w:t xml:space="preserve"> 日内，支付合同总金额的 </w:t>
      </w:r>
      <w:r>
        <w:rPr/>
        <w:t>20.00</w:t>
      </w:r>
      <w:r>
        <w:rPr/>
        <w:t>%。</w:t>
      </w:r>
    </w:p>
    <w:p>
      <w:pPr>
        <w:pStyle w:val="null3"/>
        <w:outlineLvl w:val="3"/>
      </w:pPr>
      <w:r>
        <w:rPr>
          <w:b/>
          <w:sz w:val="24"/>
        </w:rPr>
        <w:t>3.3.6违约责任及解决争议的方法</w:t>
      </w:r>
    </w:p>
    <w:p>
      <w:pPr>
        <w:pStyle w:val="null3"/>
      </w:pPr>
      <w:r>
        <w:rPr/>
        <w:t>采购包1：</w:t>
      </w:r>
    </w:p>
    <w:p>
      <w:pPr>
        <w:pStyle w:val="null3"/>
      </w:pPr>
      <w:r>
        <w:rPr/>
        <w:t>详见采购合同</w:t>
      </w:r>
    </w:p>
    <w:p>
      <w:pPr>
        <w:pStyle w:val="null3"/>
        <w:outlineLvl w:val="2"/>
      </w:pPr>
      <w:r>
        <w:rPr>
          <w:b/>
          <w:sz w:val="28"/>
        </w:rPr>
        <w:t>3.4其他要求</w:t>
      </w:r>
    </w:p>
    <w:p>
      <w:pPr>
        <w:pStyle w:val="null3"/>
      </w:pPr>
      <w:r>
        <w:rPr/>
        <w:t>成交供应商应保证采购人在使用所涉技术方案或其任何一部分技术资料时，免受第三 方提出侵犯其专利权、商标权或工业设计权等知识产权的起诉。如果发生诉讼，所有费用和责任由成交供应商承担。</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1、具有独立承担民事责任的能力（提供统一社会信用代码的营业执照（或事业法人证）等证明文件，投标单位为自然人的提供身份证）； 2、具有良好的商业信誉和健全的财务会计制度（2022年度经第三方审计的财务报告（成立时间至提交投标文件截止时间不足一年的可提供成立后任意时段的资产负债表）；或其投标文件递交截止时间前十二个月内基本存款账户开户银行出具的资信证明及开户银行许可证（或开户行出具的基本户证明材料）；或信用担保机构出具的投标担保函（复印件或扫描件加盖申请人公章）。（以上三种形式提供任何一种即可）） 3、具有履行合同所必需的设备和专业技术能力的说明及承诺； 4、具有依法缴纳税收和社会保障资金的良好记录（提供截止至投标文件递交时间前12个月内任一月份的缴费凭据或提供相关主管部门出具的缴纳证明）。依法免缴的申请人须提供相应文件证明其依法免缴； 5、参加政府采购活动前3年内在经营活动中没有重大违法记录的书面声明。 供应商需在项目电子化交易系统中按要求填写《投标函》完成承诺并进行电子签章。</w:t>
            </w:r>
          </w:p>
        </w:tc>
        <w:tc>
          <w:tcPr>
            <w:tcW w:type="dxa" w:w="1661"/>
          </w:tcPr>
          <w:p>
            <w:pPr>
              <w:pStyle w:val="null3"/>
            </w:pPr>
            <w:r>
              <w:rPr/>
              <w:t>响应函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2022年度经第三方审计的财务报告（成立时间至提交投标文件截止时间不足一年的可提供成立后任意时段的资产负债表）；或其投标文件递交截止时间前十二个月内基本存款账户开户银行出具的资信证明及开户银行许可证（或开户行出具的基本户证明材料）；或信用担保机构出具的投标担保函（复印件或扫描件加盖申请人公章）。（以上三种形式提供任何一种即可）） 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tc>
        <w:tc>
          <w:tcPr>
            <w:tcW w:type="dxa" w:w="3322"/>
          </w:tcPr>
          <w:p>
            <w:pPr>
              <w:pStyle w:val="null3"/>
            </w:pPr>
            <w:r>
              <w:rPr/>
              <w:t>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 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供应商须具有地质灾害危险性评估甲级资质。</w:t>
            </w:r>
          </w:p>
        </w:tc>
        <w:tc>
          <w:tcPr>
            <w:tcW w:type="dxa" w:w="3322"/>
          </w:tcPr>
          <w:p>
            <w:pPr>
              <w:pStyle w:val="null3"/>
            </w:pPr>
            <w:r>
              <w:rPr/>
              <w:t>供应商须具有地质灾害危险性评估甲级资质。 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本项目不接受联合体投标，不得分包、转包。</w:t>
            </w:r>
          </w:p>
        </w:tc>
        <w:tc>
          <w:tcPr>
            <w:tcW w:type="dxa" w:w="3322"/>
          </w:tcPr>
          <w:p>
            <w:pPr>
              <w:pStyle w:val="null3"/>
            </w:pPr>
            <w:r>
              <w:rPr/>
              <w:t>本项目不接受联合体投标，不得分包、转包。 供应商需在项目电子化交易系统中按要求上传相应证明文件并进行电子签章。</w:t>
            </w:r>
          </w:p>
        </w:tc>
        <w:tc>
          <w:tcPr>
            <w:tcW w:type="dxa" w:w="1661"/>
          </w:tcPr>
          <w:p>
            <w:pPr>
              <w:pStyle w:val="null3"/>
            </w:pPr>
            <w:r>
              <w:rPr/>
              <w:t>供应商资格证明文件</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供应商参加政府采购活动承诺书 分项报价表 开标记录表 标的清单 报价表</w:t>
            </w:r>
          </w:p>
        </w:tc>
      </w:tr>
      <w:tr>
        <w:tc>
          <w:tcPr>
            <w:tcW w:type="dxa" w:w="831"/>
          </w:tcPr>
          <w:p>
            <w:pPr>
              <w:pStyle w:val="null3"/>
            </w:pPr>
            <w:r>
              <w:rPr/>
              <w:t>2</w:t>
            </w:r>
          </w:p>
        </w:tc>
        <w:tc>
          <w:tcPr>
            <w:tcW w:type="dxa" w:w="2492"/>
          </w:tcPr>
          <w:p>
            <w:pPr>
              <w:pStyle w:val="null3"/>
            </w:pPr>
            <w:r>
              <w:rPr/>
              <w:t>服务期是否响应</w:t>
            </w:r>
          </w:p>
        </w:tc>
        <w:tc>
          <w:tcPr>
            <w:tcW w:type="dxa" w:w="3322"/>
          </w:tcPr>
          <w:p>
            <w:pPr>
              <w:pStyle w:val="null3"/>
            </w:pPr>
            <w:r>
              <w:rPr/>
              <w:t>服务期是否按磋商文件要求响应</w:t>
            </w:r>
          </w:p>
        </w:tc>
        <w:tc>
          <w:tcPr>
            <w:tcW w:type="dxa" w:w="1661"/>
          </w:tcPr>
          <w:p>
            <w:pPr>
              <w:pStyle w:val="null3"/>
            </w:pPr>
            <w:r>
              <w:rPr/>
              <w:t>商务要求偏离表 开标记录表</w:t>
            </w:r>
          </w:p>
        </w:tc>
      </w:tr>
      <w:tr>
        <w:tc>
          <w:tcPr>
            <w:tcW w:type="dxa" w:w="831"/>
          </w:tcPr>
          <w:p>
            <w:pPr>
              <w:pStyle w:val="null3"/>
            </w:pPr>
            <w:r>
              <w:rPr/>
              <w:t>3</w:t>
            </w:r>
          </w:p>
        </w:tc>
        <w:tc>
          <w:tcPr>
            <w:tcW w:type="dxa" w:w="2492"/>
          </w:tcPr>
          <w:p>
            <w:pPr>
              <w:pStyle w:val="null3"/>
            </w:pPr>
            <w:r>
              <w:rPr/>
              <w:t>付款方式是否响应</w:t>
            </w:r>
          </w:p>
        </w:tc>
        <w:tc>
          <w:tcPr>
            <w:tcW w:type="dxa" w:w="3322"/>
          </w:tcPr>
          <w:p>
            <w:pPr>
              <w:pStyle w:val="null3"/>
            </w:pPr>
            <w:r>
              <w:rPr/>
              <w:t>付款方式是否响应磋商文件的要求</w:t>
            </w:r>
          </w:p>
        </w:tc>
        <w:tc>
          <w:tcPr>
            <w:tcW w:type="dxa" w:w="1661"/>
          </w:tcPr>
          <w:p>
            <w:pPr>
              <w:pStyle w:val="null3"/>
            </w:pPr>
            <w:r>
              <w:rPr/>
              <w:t>商务要求偏离表 开标记录表</w:t>
            </w:r>
          </w:p>
        </w:tc>
      </w:tr>
      <w:tr>
        <w:tc>
          <w:tcPr>
            <w:tcW w:type="dxa" w:w="831"/>
          </w:tcPr>
          <w:p>
            <w:pPr>
              <w:pStyle w:val="null3"/>
            </w:pPr>
            <w:r>
              <w:rPr/>
              <w:t>4</w:t>
            </w:r>
          </w:p>
        </w:tc>
        <w:tc>
          <w:tcPr>
            <w:tcW w:type="dxa" w:w="2492"/>
          </w:tcPr>
          <w:p>
            <w:pPr>
              <w:pStyle w:val="null3"/>
            </w:pPr>
            <w:r>
              <w:rPr/>
              <w:t>磋商报价是否超过采购预算或最高限价</w:t>
            </w:r>
          </w:p>
        </w:tc>
        <w:tc>
          <w:tcPr>
            <w:tcW w:type="dxa" w:w="3322"/>
          </w:tcPr>
          <w:p>
            <w:pPr>
              <w:pStyle w:val="null3"/>
            </w:pPr>
            <w:r>
              <w:rPr/>
              <w:t>磋商报价是否超过采购预算或最高限价</w:t>
            </w:r>
          </w:p>
        </w:tc>
        <w:tc>
          <w:tcPr>
            <w:tcW w:type="dxa" w:w="1661"/>
          </w:tcPr>
          <w:p>
            <w:pPr>
              <w:pStyle w:val="null3"/>
            </w:pPr>
            <w:r>
              <w:rPr/>
              <w:t>商务要求偏离表 分项报价表 开标记录表 报价表</w:t>
            </w:r>
          </w:p>
        </w:tc>
      </w:tr>
      <w:tr>
        <w:tc>
          <w:tcPr>
            <w:tcW w:type="dxa" w:w="831"/>
          </w:tcPr>
          <w:p>
            <w:pPr>
              <w:pStyle w:val="null3"/>
            </w:pPr>
            <w:r>
              <w:rPr/>
              <w:t>5</w:t>
            </w:r>
          </w:p>
        </w:tc>
        <w:tc>
          <w:tcPr>
            <w:tcW w:type="dxa" w:w="2492"/>
          </w:tcPr>
          <w:p>
            <w:pPr>
              <w:pStyle w:val="null3"/>
            </w:pPr>
            <w:r>
              <w:rPr/>
              <w:t>有效期是否符合磋商文件要求</w:t>
            </w:r>
          </w:p>
        </w:tc>
        <w:tc>
          <w:tcPr>
            <w:tcW w:type="dxa" w:w="3322"/>
          </w:tcPr>
          <w:p>
            <w:pPr>
              <w:pStyle w:val="null3"/>
            </w:pPr>
            <w:r>
              <w:rPr/>
              <w:t>有效期是否符合磋商文件要求</w:t>
            </w:r>
          </w:p>
        </w:tc>
        <w:tc>
          <w:tcPr>
            <w:tcW w:type="dxa" w:w="1661"/>
          </w:tcPr>
          <w:p>
            <w:pPr>
              <w:pStyle w:val="null3"/>
            </w:pPr>
            <w:r>
              <w:rPr/>
              <w:t>响应函</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整体工作方案1</w:t>
            </w:r>
          </w:p>
        </w:tc>
        <w:tc>
          <w:tcPr>
            <w:tcW w:type="dxa" w:w="2492"/>
          </w:tcPr>
          <w:p>
            <w:pPr>
              <w:pStyle w:val="null3"/>
            </w:pPr>
            <w:r>
              <w:rPr/>
              <w:t>整体工作方案内容全面，完全结合实际。满分5分。每有一项内容缺陷按缺陷程度扣0.5-1分，直至本项分扣完为止。内容缺陷是指：内容有所缺失、理解不够深刻、现状不够熟悉、各项指标把握情况不够准确、不符合项目实际情况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整体工作方案2</w:t>
            </w:r>
          </w:p>
        </w:tc>
        <w:tc>
          <w:tcPr>
            <w:tcW w:type="dxa" w:w="2492"/>
          </w:tcPr>
          <w:p>
            <w:pPr>
              <w:pStyle w:val="null3"/>
            </w:pPr>
            <w:r>
              <w:rPr/>
              <w:t>整体工作方案表述清楚，应用性强，重点突出。满分5分；每有一项内容缺陷按缺陷程度扣0.5-1分，直至本项分扣完为止。内容缺陷是指：表述不够清楚、重点不够突出、应用性不强、不符合项目实际情况等。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现状解析</w:t>
            </w:r>
          </w:p>
        </w:tc>
        <w:tc>
          <w:tcPr>
            <w:tcW w:type="dxa" w:w="2492"/>
          </w:tcPr>
          <w:p>
            <w:pPr>
              <w:pStyle w:val="null3"/>
            </w:pPr>
            <w:r>
              <w:rPr/>
              <w:t>针对主要内容与任务中现状问题识别内容全面，编制思路清晰、针对性强，符合发展需要，具有可操作性。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任务目标分解</w:t>
            </w:r>
          </w:p>
        </w:tc>
        <w:tc>
          <w:tcPr>
            <w:tcW w:type="dxa" w:w="2492"/>
          </w:tcPr>
          <w:p>
            <w:pPr>
              <w:pStyle w:val="null3"/>
            </w:pPr>
            <w:r>
              <w:rPr/>
              <w:t>针对主要内容与任务中目标分解内容全面，编制思路清晰、针对性强，符合发展需要，具有可操作性。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投标人认为有必要说明的其他资料</w:t>
            </w:r>
          </w:p>
          <w:p>
            <w:pPr>
              <w:pStyle w:val="null3"/>
            </w:pPr>
            <w:r>
              <w:rPr/>
              <w:t>服务方案</w:t>
            </w:r>
          </w:p>
        </w:tc>
      </w:tr>
      <w:tr>
        <w:tc>
          <w:tcPr>
            <w:tcW w:type="dxa" w:w="831"/>
            <w:vMerge/>
          </w:tcPr>
          <w:p/>
        </w:tc>
        <w:tc>
          <w:tcPr>
            <w:tcW w:type="dxa" w:w="1661"/>
          </w:tcPr>
          <w:p>
            <w:pPr>
              <w:pStyle w:val="null3"/>
            </w:pPr>
            <w:r>
              <w:rPr/>
              <w:t>提升策略</w:t>
            </w:r>
          </w:p>
        </w:tc>
        <w:tc>
          <w:tcPr>
            <w:tcW w:type="dxa" w:w="2492"/>
          </w:tcPr>
          <w:p>
            <w:pPr>
              <w:pStyle w:val="null3"/>
            </w:pPr>
            <w:r>
              <w:rPr/>
              <w:t>针对主要内容与任务中提升策略内容全面，编制思路清晰、针对性强，符合发展需要，具有前瞻性和可操作性。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实施管控</w:t>
            </w:r>
          </w:p>
        </w:tc>
        <w:tc>
          <w:tcPr>
            <w:tcW w:type="dxa" w:w="2492"/>
          </w:tcPr>
          <w:p>
            <w:pPr>
              <w:pStyle w:val="null3"/>
            </w:pPr>
            <w:r>
              <w:rPr/>
              <w:t>针对主要内容与任务中实施管控内容全面，编制思路清晰、针对性强，符合发展需要，具有前瞻性和可操作性。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合理化建议</w:t>
            </w:r>
          </w:p>
        </w:tc>
        <w:tc>
          <w:tcPr>
            <w:tcW w:type="dxa" w:w="2492"/>
          </w:tcPr>
          <w:p>
            <w:pPr>
              <w:pStyle w:val="null3"/>
            </w:pPr>
            <w:r>
              <w:rPr/>
              <w:t>针对本项目合理化建议行之有效、分析透彻，满分5分；每有一项内容缺陷按缺陷程度扣0.5-1分，直至本项分扣完为止。内容缺陷是指：内容不够详实合理、理解不够深刻、现状不够熟悉、建议不够合理、全面、不符合项目实际情况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应急方案</w:t>
            </w:r>
          </w:p>
        </w:tc>
        <w:tc>
          <w:tcPr>
            <w:tcW w:type="dxa" w:w="2492"/>
          </w:tcPr>
          <w:p>
            <w:pPr>
              <w:pStyle w:val="null3"/>
            </w:pPr>
            <w:r>
              <w:rPr/>
              <w:t>项目出现突发状况或问题后的补救措施等方面，有明确、切实可行、内容详尽的应急补救措施，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投标人认为有必要说明的其他资料</w:t>
            </w:r>
          </w:p>
          <w:p>
            <w:pPr>
              <w:pStyle w:val="null3"/>
            </w:pPr>
            <w:r>
              <w:rPr/>
              <w:t>服务方案</w:t>
            </w:r>
          </w:p>
        </w:tc>
      </w:tr>
      <w:tr>
        <w:tc>
          <w:tcPr>
            <w:tcW w:type="dxa" w:w="831"/>
            <w:vMerge/>
          </w:tcPr>
          <w:p/>
        </w:tc>
        <w:tc>
          <w:tcPr>
            <w:tcW w:type="dxa" w:w="1661"/>
          </w:tcPr>
          <w:p>
            <w:pPr>
              <w:pStyle w:val="null3"/>
            </w:pPr>
            <w:r>
              <w:rPr/>
              <w:t>重难点分析</w:t>
            </w:r>
          </w:p>
        </w:tc>
        <w:tc>
          <w:tcPr>
            <w:tcW w:type="dxa" w:w="2492"/>
          </w:tcPr>
          <w:p>
            <w:pPr>
              <w:pStyle w:val="null3"/>
            </w:pPr>
            <w:r>
              <w:rPr/>
              <w:t>对项目实施过程中的重点、难点分析及解决方案，供应商根据本项目的实际情况，提出有针对性的关键点分析及解决方案，且关键点分析准确，解决方案得当，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投标人认为有必要说明的其他资料</w:t>
            </w:r>
          </w:p>
          <w:p>
            <w:pPr>
              <w:pStyle w:val="null3"/>
            </w:pPr>
            <w:r>
              <w:rPr/>
              <w:t>服务方案</w:t>
            </w:r>
          </w:p>
        </w:tc>
      </w:tr>
      <w:tr>
        <w:tc>
          <w:tcPr>
            <w:tcW w:type="dxa" w:w="831"/>
            <w:vMerge/>
          </w:tcPr>
          <w:p/>
        </w:tc>
        <w:tc>
          <w:tcPr>
            <w:tcW w:type="dxa" w:w="1661"/>
          </w:tcPr>
          <w:p>
            <w:pPr>
              <w:pStyle w:val="null3"/>
            </w:pPr>
            <w:r>
              <w:rPr/>
              <w:t>进度安排及成果交付计划</w:t>
            </w:r>
          </w:p>
        </w:tc>
        <w:tc>
          <w:tcPr>
            <w:tcW w:type="dxa" w:w="2492"/>
          </w:tcPr>
          <w:p>
            <w:pPr>
              <w:pStyle w:val="null3"/>
            </w:pPr>
            <w:r>
              <w:rPr/>
              <w:t>供应商针对本项目招标内容有明确的进度安排，合理的成果交付时限且进度安排科学合理，完全满足需求，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p>
            <w:pPr>
              <w:pStyle w:val="null3"/>
            </w:pPr>
            <w:r>
              <w:rPr/>
              <w:t>服务承诺书</w:t>
            </w:r>
          </w:p>
        </w:tc>
      </w:tr>
      <w:tr>
        <w:tc>
          <w:tcPr>
            <w:tcW w:type="dxa" w:w="831"/>
            <w:vMerge/>
          </w:tcPr>
          <w:p/>
        </w:tc>
        <w:tc>
          <w:tcPr>
            <w:tcW w:type="dxa" w:w="1661"/>
          </w:tcPr>
          <w:p>
            <w:pPr>
              <w:pStyle w:val="null3"/>
            </w:pPr>
            <w:r>
              <w:rPr/>
              <w:t>项目负责人</w:t>
            </w:r>
          </w:p>
        </w:tc>
        <w:tc>
          <w:tcPr>
            <w:tcW w:type="dxa" w:w="2492"/>
          </w:tcPr>
          <w:p>
            <w:pPr>
              <w:pStyle w:val="null3"/>
            </w:pPr>
            <w:r>
              <w:rPr/>
              <w:t>目负责人具备地质工程，水文地质，岩土工程等相关专业本科及以上学历及专业高级工程师的得5分，缺项或专业不符不得分。 （提供人员有效证书复印件及开标时间前6个月内任意一个月的社保证明，加盖公章）</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拟投入项目负责人简历表</w:t>
            </w:r>
          </w:p>
          <w:p>
            <w:pPr>
              <w:pStyle w:val="null3"/>
            </w:pPr>
            <w:r>
              <w:rPr/>
              <w:t>拟配备团队情况</w:t>
            </w:r>
          </w:p>
          <w:p>
            <w:pPr>
              <w:pStyle w:val="null3"/>
            </w:pPr>
            <w:r>
              <w:rPr/>
              <w:t>服务方案</w:t>
            </w:r>
          </w:p>
        </w:tc>
      </w:tr>
      <w:tr>
        <w:tc>
          <w:tcPr>
            <w:tcW w:type="dxa" w:w="831"/>
            <w:vMerge/>
          </w:tcPr>
          <w:p/>
        </w:tc>
        <w:tc>
          <w:tcPr>
            <w:tcW w:type="dxa" w:w="1661"/>
          </w:tcPr>
          <w:p>
            <w:pPr>
              <w:pStyle w:val="null3"/>
            </w:pPr>
            <w:r>
              <w:rPr/>
              <w:t>项目团队人员</w:t>
            </w:r>
          </w:p>
        </w:tc>
        <w:tc>
          <w:tcPr>
            <w:tcW w:type="dxa" w:w="2492"/>
          </w:tcPr>
          <w:p>
            <w:pPr>
              <w:pStyle w:val="null3"/>
            </w:pPr>
            <w:r>
              <w:rPr/>
              <w:t>专业人员配备合理、全面、满足项目需求，人员分工、岗位职责明确等。 1、根据人员架构的设置情况是否充分，是否具备与本项目相关的专业技术能力，根据人员配备情况进行赋分，满分4分； 2、根据拟派团队人员的专业技术能力进行赋分，满分3分； 3、根据供应商提供的针对本项目团队人员岗位划分是否清晰，职责是否明确进行赋分，满分3分。 以上各项内容每有一项内容缺陷的扣0.5- 1分，直至本项分扣完为止。内容缺陷是指：存在不适用项目实际情况的情形、人员安排不当、配合服务计划不合理、人员经验不足等。</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拟配备团队情况</w:t>
            </w:r>
          </w:p>
          <w:p>
            <w:pPr>
              <w:pStyle w:val="null3"/>
            </w:pPr>
            <w:r>
              <w:rPr/>
              <w:t>投标人认为有必要说明的其他资料</w:t>
            </w:r>
          </w:p>
          <w:p>
            <w:pPr>
              <w:pStyle w:val="null3"/>
            </w:pPr>
            <w:r>
              <w:rPr/>
              <w:t>服务承诺书</w:t>
            </w:r>
          </w:p>
          <w:p>
            <w:pPr>
              <w:pStyle w:val="null3"/>
            </w:pPr>
            <w:r>
              <w:rPr/>
              <w:t>服务方案</w:t>
            </w:r>
          </w:p>
        </w:tc>
      </w:tr>
      <w:tr>
        <w:tc>
          <w:tcPr>
            <w:tcW w:type="dxa" w:w="831"/>
            <w:vMerge/>
          </w:tcPr>
          <w:p/>
        </w:tc>
        <w:tc>
          <w:tcPr>
            <w:tcW w:type="dxa" w:w="1661"/>
          </w:tcPr>
          <w:p>
            <w:pPr>
              <w:pStyle w:val="null3"/>
            </w:pPr>
            <w:r>
              <w:rPr/>
              <w:t>编制进度承诺</w:t>
            </w:r>
          </w:p>
        </w:tc>
        <w:tc>
          <w:tcPr>
            <w:tcW w:type="dxa" w:w="2492"/>
          </w:tcPr>
          <w:p>
            <w:pPr>
              <w:pStyle w:val="null3"/>
            </w:pPr>
            <w:r>
              <w:rPr/>
              <w:t>对采购内容的相关进度要求、时限要求、报告编制成果要求等做出承诺，承诺全面，满足要求，保障有力，满分5分；每有一项内容缺陷按缺陷程度扣0.5-1分，直至本项分扣完为止。内容缺陷是指：承诺不够全面、思路不够清晰、针对性不强、表述不够清楚、不符合项目实际情况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p>
            <w:pPr>
              <w:pStyle w:val="null3"/>
            </w:pPr>
            <w:r>
              <w:rPr/>
              <w:t>服务承诺书</w:t>
            </w:r>
          </w:p>
        </w:tc>
      </w:tr>
      <w:tr>
        <w:tc>
          <w:tcPr>
            <w:tcW w:type="dxa" w:w="831"/>
            <w:vMerge/>
          </w:tcPr>
          <w:p/>
        </w:tc>
        <w:tc>
          <w:tcPr>
            <w:tcW w:type="dxa" w:w="1661"/>
          </w:tcPr>
          <w:p>
            <w:pPr>
              <w:pStyle w:val="null3"/>
            </w:pPr>
            <w:r>
              <w:rPr/>
              <w:t>质量保证体系</w:t>
            </w:r>
          </w:p>
        </w:tc>
        <w:tc>
          <w:tcPr>
            <w:tcW w:type="dxa" w:w="2492"/>
          </w:tcPr>
          <w:p>
            <w:pPr>
              <w:pStyle w:val="null3"/>
            </w:pPr>
            <w:r>
              <w:rPr/>
              <w:t>供应商质量保证体系合理完善，质量控制程序科学合理，具有针对性和可行性，能有效保障报告编制质量。满分5分。每有一项内容缺陷的扣0.5-1分，直至本项分扣完为止。内容缺陷是指：保证体系不够完善、控制程序不够科学、针对性和可行性不够、不符合项目实际情况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投标人认为有必要说明的其他资料</w:t>
            </w:r>
          </w:p>
          <w:p>
            <w:pPr>
              <w:pStyle w:val="null3"/>
            </w:pPr>
            <w:r>
              <w:rPr/>
              <w:t>服务方案</w:t>
            </w:r>
          </w:p>
        </w:tc>
      </w:tr>
      <w:tr>
        <w:tc>
          <w:tcPr>
            <w:tcW w:type="dxa" w:w="831"/>
            <w:vMerge/>
          </w:tcPr>
          <w:p/>
        </w:tc>
        <w:tc>
          <w:tcPr>
            <w:tcW w:type="dxa" w:w="1661"/>
          </w:tcPr>
          <w:p>
            <w:pPr>
              <w:pStyle w:val="null3"/>
            </w:pPr>
            <w:r>
              <w:rPr/>
              <w:t>后续服务承诺</w:t>
            </w:r>
          </w:p>
        </w:tc>
        <w:tc>
          <w:tcPr>
            <w:tcW w:type="dxa" w:w="2492"/>
          </w:tcPr>
          <w:p>
            <w:pPr>
              <w:pStyle w:val="null3"/>
            </w:pPr>
            <w:r>
              <w:rPr/>
              <w:t>对报告编制后期服务相关内容做出承诺，后续服务安排及保障全面可行，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投标人认为有必要说明的其他资料</w:t>
            </w:r>
          </w:p>
          <w:p>
            <w:pPr>
              <w:pStyle w:val="null3"/>
            </w:pPr>
            <w:r>
              <w:rPr/>
              <w:t>服务承诺书</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根据各供应商提供的2020年1月1日至今同类项目业绩合同，时间以合同签订的日期为准，每一个有效业绩得2分。满分10分。（合同复印件加盖公章附在投标文件中，否则不做为评审依据）</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同类项目业绩一览表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满足磋商文件要求且最后的磋商报价最低的投标价为评标基准价，其价格分为满分。 磋商报价得分=（评审基准价/磋商报价）×价格权值×100。 符合磋商文件规定的小微企业、监狱企业等优惠条件的投标人，价格给予10%的扣除，用扣除后的价格参与评审。</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分项报价表</w:t>
            </w:r>
          </w:p>
          <w:p>
            <w:pPr>
              <w:pStyle w:val="null3"/>
            </w:pPr>
            <w:r>
              <w:rPr/>
              <w:t>开标记录表</w:t>
            </w:r>
          </w:p>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分项报价表 中小企业声明函 残疾人福利性单位声明函 开标记录表 标的清单 报价表 监狱企业的证明文件</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详见附件：分项报价表</w:t>
      </w:r>
    </w:p>
    <w:p>
      <w:pPr>
        <w:pStyle w:val="null3"/>
        <w:ind w:firstLine="960"/>
      </w:pPr>
      <w:r>
        <w:rPr/>
        <w:t>详见附件：供应商参加政府采购活动承诺书</w:t>
      </w:r>
    </w:p>
    <w:p>
      <w:pPr>
        <w:pStyle w:val="null3"/>
        <w:ind w:firstLine="960"/>
      </w:pPr>
      <w:r>
        <w:rPr/>
        <w:t>详见附件：供应商资格证明文件</w:t>
      </w:r>
    </w:p>
    <w:p>
      <w:pPr>
        <w:pStyle w:val="null3"/>
        <w:ind w:firstLine="960"/>
      </w:pPr>
      <w:r>
        <w:rPr/>
        <w:t>详见附件：开标记录表</w:t>
      </w:r>
    </w:p>
    <w:p>
      <w:pPr>
        <w:pStyle w:val="null3"/>
        <w:ind w:firstLine="960"/>
      </w:pPr>
      <w:r>
        <w:rPr/>
        <w:t>详见附件：拟投入项目负责人简历表</w:t>
      </w:r>
    </w:p>
    <w:p>
      <w:pPr>
        <w:pStyle w:val="null3"/>
        <w:ind w:firstLine="960"/>
      </w:pPr>
      <w:r>
        <w:rPr/>
        <w:t>详见附件：拟配备团队情况</w:t>
      </w:r>
    </w:p>
    <w:p>
      <w:pPr>
        <w:pStyle w:val="null3"/>
        <w:ind w:firstLine="960"/>
      </w:pPr>
      <w:r>
        <w:rPr/>
        <w:t>详见附件：商务要求偏离表</w:t>
      </w:r>
    </w:p>
    <w:p>
      <w:pPr>
        <w:pStyle w:val="null3"/>
        <w:ind w:firstLine="960"/>
      </w:pPr>
      <w:r>
        <w:rPr/>
        <w:t>详见附件：投标人认为有必要说明的其他资料</w:t>
      </w:r>
    </w:p>
    <w:p>
      <w:pPr>
        <w:pStyle w:val="null3"/>
        <w:ind w:firstLine="960"/>
      </w:pPr>
      <w:r>
        <w:rPr/>
        <w:t>详见附件：服务承诺书</w:t>
      </w:r>
    </w:p>
    <w:p>
      <w:pPr>
        <w:pStyle w:val="null3"/>
        <w:ind w:firstLine="960"/>
      </w:pPr>
      <w:r>
        <w:rPr/>
        <w:t>详见附件：同类项目业绩一览表</w:t>
      </w:r>
    </w:p>
    <w:p>
      <w:pPr>
        <w:pStyle w:val="null3"/>
      </w:pPr>
      <w:r>
        <w:rPr/>
        <w:t xml:space="preserve"> </w:t>
      </w:r>
    </w:p>
    <w:p>
      <w:pPr>
        <w:pStyle w:val="null3"/>
        <w:jc w:val="center"/>
        <w:outlineLvl w:val="1"/>
      </w:pPr>
      <w:r>
        <w:rPr>
          <w:b/>
          <w:sz w:val="36"/>
        </w:rPr>
        <w:t>第八章 拟签订采购合同文本</w:t>
      </w:r>
    </w:p>
    <w:p>
      <w:pPr>
        <w:pStyle w:val="null3"/>
      </w:pPr>
      <w:r>
        <w:rPr/>
        <w:t>详见附件：合同模板.docx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