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网络安全建设提升项目</w:t>
      </w:r>
    </w:p>
    <w:p>
      <w:pPr>
        <w:pStyle w:val="null3"/>
        <w:jc w:val="center"/>
        <w:outlineLvl w:val="2"/>
      </w:pPr>
      <w:r>
        <w:rPr>
          <w:b/>
          <w:sz w:val="28"/>
        </w:rPr>
        <w:t>采购项目编号：</w:t>
      </w:r>
      <w:r>
        <w:rPr>
          <w:b/>
          <w:sz w:val="28"/>
        </w:rPr>
        <w:t>SZT2024-SN-SC-ZC-HW-0345</w:t>
      </w:r>
      <w:r>
        <w:br/>
      </w:r>
      <w:r>
        <w:br/>
      </w:r>
      <w:r>
        <w:br/>
      </w:r>
    </w:p>
    <w:p>
      <w:pPr>
        <w:pStyle w:val="null3"/>
        <w:jc w:val="center"/>
        <w:outlineLvl w:val="2"/>
      </w:pPr>
      <w:r>
        <w:rPr>
          <w:b/>
          <w:sz w:val="28"/>
        </w:rPr>
        <w:t>陕西省肿瘤医院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2024年05月14日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陕西省肿瘤医院</w:t>
      </w:r>
      <w:r>
        <w:rPr/>
        <w:t>委托，拟对</w:t>
      </w:r>
      <w:r>
        <w:rPr/>
        <w:t>网络安全建设提升项目</w:t>
      </w:r>
      <w:r>
        <w:rPr/>
        <w:t>进行国内公开招标，兹邀请符合本次招标要求的供应商参加投标。</w:t>
      </w:r>
    </w:p>
    <w:p>
      <w:pPr>
        <w:pStyle w:val="null3"/>
        <w:outlineLvl w:val="2"/>
      </w:pPr>
      <w:r>
        <w:rPr>
          <w:b/>
          <w:sz w:val="28"/>
        </w:rPr>
        <w:t>一、采购项目编号：</w:t>
      </w:r>
      <w:r>
        <w:rPr>
          <w:b/>
          <w:sz w:val="28"/>
        </w:rPr>
        <w:t>SZT2024-SN-SC-ZC-HW-0345</w:t>
      </w:r>
    </w:p>
    <w:p>
      <w:pPr>
        <w:pStyle w:val="null3"/>
        <w:outlineLvl w:val="2"/>
      </w:pPr>
      <w:r>
        <w:rPr>
          <w:b/>
          <w:sz w:val="28"/>
        </w:rPr>
        <w:t>二、采购项目名称：</w:t>
      </w:r>
      <w:r>
        <w:rPr>
          <w:b/>
          <w:sz w:val="28"/>
        </w:rPr>
        <w:t>网络安全建设提升项目</w:t>
      </w:r>
    </w:p>
    <w:p>
      <w:pPr>
        <w:pStyle w:val="null3"/>
        <w:outlineLvl w:val="2"/>
      </w:pPr>
      <w:r>
        <w:rPr>
          <w:b/>
          <w:sz w:val="28"/>
        </w:rPr>
        <w:t>三、招标项目简介</w:t>
      </w:r>
    </w:p>
    <w:p>
      <w:pPr>
        <w:pStyle w:val="null3"/>
        <w:ind w:firstLine="480"/>
      </w:pPr>
      <w:r>
        <w:rPr/>
        <w:t>网络安全建设提升、三级等保测评服务</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采购包2（三级等保测评服务）：属于专门面向中小企业采购。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pPr>
      <w:r>
        <w:rPr/>
        <w:t>采购包2：</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 xml:space="preserve"> 陈老师</w:t>
      </w:r>
    </w:p>
    <w:p>
      <w:pPr>
        <w:pStyle w:val="null3"/>
      </w:pPr>
      <w:r>
        <w:rPr/>
        <w:t xml:space="preserve"> 联系电话： </w:t>
      </w:r>
      <w:r>
        <w:rPr/>
        <w:t>029-85276353</w:t>
      </w:r>
    </w:p>
    <w:p>
      <w:pPr>
        <w:pStyle w:val="null3"/>
        <w:outlineLvl w:val="2"/>
      </w:pPr>
      <w:r>
        <w:rPr>
          <w:b/>
          <w:sz w:val="28"/>
        </w:rPr>
        <w:t>代理机构：</w:t>
      </w:r>
      <w:r>
        <w:rPr>
          <w:b/>
          <w:sz w:val="28"/>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采购包1：980,000.00元</w:t>
            </w:r>
          </w:p>
          <w:p>
            <w:pPr>
              <w:pStyle w:val="null3"/>
            </w:pPr>
            <w:r>
              <w:rPr/>
              <w:t>采购包2：340,000.00元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采购包1保证金金额：19,000.00元</w:t>
            </w:r>
          </w:p>
          <w:p>
            <w:pPr>
              <w:pStyle w:val="null3"/>
            </w:pPr>
            <w:r>
              <w:rPr/>
              <w:t>采购包2保证金金额：6,800.00元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收费标准，按照预算金额差额定率累进法计算后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陕西中技招标有限公司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验收依据 ⑴本合同及附件文本所约定的验收标准； ⑵招标文件、投标文件、澄清表（函）； ⑶国家相应的标准、规范。</w:t>
      </w:r>
    </w:p>
    <w:p>
      <w:pPr>
        <w:pStyle w:val="null3"/>
      </w:pPr>
      <w:r>
        <w:rPr/>
        <w:t>采购包2：</w:t>
      </w:r>
    </w:p>
    <w:p>
      <w:pPr>
        <w:pStyle w:val="null3"/>
      </w:pPr>
      <w:r>
        <w:rPr/>
        <w:t>验收依据 ⑴本合同及附件文本所约定的验收标准； ⑵招标文件、投标文件、澄清表（函）； ⑶国家相应的标准、规范。</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地址：西安市高新区高新四路1号高科广场A1001室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网络安全建设提升、三级等保测评服务</w:t>
      </w:r>
    </w:p>
    <w:p>
      <w:pPr>
        <w:pStyle w:val="null3"/>
        <w:outlineLvl w:val="2"/>
      </w:pPr>
      <w:r>
        <w:rPr>
          <w:b/>
          <w:sz w:val="28"/>
        </w:rPr>
        <w:t>3.2采购内容</w:t>
      </w:r>
    </w:p>
    <w:p>
      <w:pPr>
        <w:pStyle w:val="null3"/>
      </w:pPr>
      <w:r>
        <w:rPr/>
        <w:t>采购包1：</w:t>
      </w:r>
    </w:p>
    <w:p>
      <w:pPr>
        <w:pStyle w:val="null3"/>
      </w:pPr>
      <w:r>
        <w:rPr/>
        <w:t>采购包预算金额（元）: 980,000.00</w:t>
      </w:r>
    </w:p>
    <w:p>
      <w:pPr>
        <w:pStyle w:val="null3"/>
      </w:pPr>
      <w:r>
        <w:rPr/>
        <w:t>采购包最高限价（元）: 980,000.00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机房超融合及灾备一体扩容</w:t>
            </w:r>
          </w:p>
        </w:tc>
        <w:tc>
          <w:tcPr>
            <w:tcW w:type="dxa" w:w="831"/>
          </w:tcPr>
          <w:p>
            <w:pPr>
              <w:pStyle w:val="null3"/>
              <w:jc w:val="right"/>
            </w:pPr>
            <w:r>
              <w:rPr/>
              <w:t>1.00</w:t>
            </w:r>
          </w:p>
        </w:tc>
        <w:tc>
          <w:tcPr>
            <w:tcW w:type="dxa" w:w="831"/>
          </w:tcPr>
          <w:p>
            <w:pPr>
              <w:pStyle w:val="null3"/>
              <w:jc w:val="right"/>
            </w:pPr>
            <w:r>
              <w:rPr/>
              <w:t>980,000.00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340,000.00</w:t>
      </w:r>
    </w:p>
    <w:p>
      <w:pPr>
        <w:pStyle w:val="null3"/>
      </w:pPr>
      <w:r>
        <w:rPr/>
        <w:t>采购包最高限价（元）: 340,000.00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网络安全等保测评</w:t>
            </w:r>
          </w:p>
        </w:tc>
        <w:tc>
          <w:tcPr>
            <w:tcW w:type="dxa" w:w="831"/>
          </w:tcPr>
          <w:p>
            <w:pPr>
              <w:pStyle w:val="null3"/>
              <w:jc w:val="right"/>
            </w:pPr>
            <w:r>
              <w:rPr/>
              <w:t>1.00</w:t>
            </w:r>
          </w:p>
        </w:tc>
        <w:tc>
          <w:tcPr>
            <w:tcW w:type="dxa" w:w="831"/>
          </w:tcPr>
          <w:p>
            <w:pPr>
              <w:pStyle w:val="null3"/>
              <w:jc w:val="right"/>
            </w:pPr>
            <w:r>
              <w:rPr/>
              <w:t>340,000.00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标的名称：机房超融合及灾备一体扩容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35"/>
              <w:jc w:val="both"/>
              <w:outlineLvl w:val="0"/>
            </w:pPr>
            <w:r>
              <w:rPr>
                <w:rFonts w:ascii="仿宋" w:hAnsi="仿宋" w:cs="仿宋" w:eastAsia="仿宋"/>
                <w:b/>
                <w:sz w:val="36"/>
              </w:rPr>
              <w:t>第一部分</w:t>
            </w:r>
            <w:r>
              <w:rPr>
                <w:rFonts w:ascii="仿宋" w:hAnsi="仿宋" w:cs="仿宋" w:eastAsia="仿宋"/>
                <w:b/>
                <w:sz w:val="36"/>
              </w:rPr>
              <w:t xml:space="preserve"> </w:t>
            </w:r>
            <w:r>
              <w:rPr>
                <w:rFonts w:ascii="仿宋" w:hAnsi="仿宋" w:cs="仿宋" w:eastAsia="仿宋"/>
                <w:b/>
                <w:sz w:val="36"/>
              </w:rPr>
              <w:t>项目采购内容</w:t>
            </w:r>
          </w:p>
          <w:p>
            <w:pPr>
              <w:pStyle w:val="null3"/>
              <w:ind w:firstLine="480"/>
              <w:jc w:val="both"/>
            </w:pPr>
            <w:r>
              <w:rPr>
                <w:rFonts w:ascii="仿宋" w:hAnsi="仿宋" w:cs="仿宋" w:eastAsia="仿宋"/>
                <w:sz w:val="24"/>
              </w:rPr>
              <w:t>一、采购项目：陕西省肿瘤医院</w:t>
            </w:r>
            <w:r>
              <w:rPr>
                <w:rFonts w:ascii="仿宋" w:hAnsi="仿宋" w:cs="仿宋" w:eastAsia="仿宋"/>
                <w:sz w:val="24"/>
              </w:rPr>
              <w:t>网络安全建设提升项目</w:t>
            </w:r>
          </w:p>
          <w:p>
            <w:pPr>
              <w:pStyle w:val="null3"/>
              <w:ind w:firstLine="480"/>
              <w:jc w:val="both"/>
            </w:pPr>
            <w:r>
              <w:rPr>
                <w:rFonts w:ascii="仿宋" w:hAnsi="仿宋" w:cs="仿宋" w:eastAsia="仿宋"/>
                <w:sz w:val="24"/>
              </w:rPr>
              <w:t>二、数量：</w:t>
            </w:r>
            <w:r>
              <w:rPr>
                <w:rFonts w:ascii="仿宋" w:hAnsi="仿宋" w:cs="仿宋" w:eastAsia="仿宋"/>
                <w:sz w:val="24"/>
              </w:rPr>
              <w:t>1</w:t>
            </w:r>
            <w:r>
              <w:rPr>
                <w:rFonts w:ascii="仿宋" w:hAnsi="仿宋" w:cs="仿宋" w:eastAsia="仿宋"/>
                <w:sz w:val="24"/>
              </w:rPr>
              <w:t>套</w:t>
            </w:r>
          </w:p>
          <w:p>
            <w:pPr>
              <w:pStyle w:val="null3"/>
              <w:ind w:firstLine="480"/>
              <w:jc w:val="both"/>
            </w:pPr>
            <w:r>
              <w:rPr>
                <w:rFonts w:ascii="仿宋" w:hAnsi="仿宋" w:cs="仿宋" w:eastAsia="仿宋"/>
                <w:sz w:val="24"/>
              </w:rPr>
              <w:t>三、</w:t>
            </w:r>
            <w:r>
              <w:rPr>
                <w:rFonts w:ascii="仿宋" w:hAnsi="仿宋" w:cs="仿宋" w:eastAsia="仿宋"/>
                <w:sz w:val="24"/>
              </w:rPr>
              <w:t>预算价</w:t>
            </w:r>
            <w:r>
              <w:rPr>
                <w:rFonts w:ascii="仿宋" w:hAnsi="仿宋" w:cs="仿宋" w:eastAsia="仿宋"/>
                <w:sz w:val="24"/>
              </w:rPr>
              <w:t>：</w:t>
            </w:r>
            <w:r>
              <w:rPr>
                <w:rFonts w:ascii="仿宋" w:hAnsi="仿宋" w:cs="仿宋" w:eastAsia="仿宋"/>
                <w:sz w:val="24"/>
              </w:rPr>
              <w:t>98</w:t>
            </w:r>
            <w:r>
              <w:rPr>
                <w:rFonts w:ascii="仿宋" w:hAnsi="仿宋" w:cs="仿宋" w:eastAsia="仿宋"/>
                <w:sz w:val="24"/>
              </w:rPr>
              <w:t>万</w:t>
            </w:r>
          </w:p>
          <w:p>
            <w:pPr>
              <w:pStyle w:val="null3"/>
              <w:ind w:firstLine="480"/>
              <w:jc w:val="both"/>
            </w:pPr>
            <w:r>
              <w:rPr>
                <w:rFonts w:ascii="仿宋" w:hAnsi="仿宋" w:cs="仿宋" w:eastAsia="仿宋"/>
                <w:sz w:val="24"/>
              </w:rPr>
              <w:t>四、质保期：三年</w:t>
            </w:r>
          </w:p>
          <w:p>
            <w:pPr>
              <w:pStyle w:val="null3"/>
              <w:ind w:firstLine="480"/>
              <w:jc w:val="both"/>
            </w:pPr>
            <w:r>
              <w:rPr>
                <w:rFonts w:ascii="仿宋" w:hAnsi="仿宋" w:cs="仿宋" w:eastAsia="仿宋"/>
                <w:sz w:val="24"/>
              </w:rPr>
              <w:t>五、</w:t>
            </w:r>
            <w:r>
              <w:rPr>
                <w:rFonts w:ascii="仿宋" w:hAnsi="仿宋" w:cs="仿宋" w:eastAsia="仿宋"/>
                <w:sz w:val="24"/>
              </w:rPr>
              <w:t>交货安装期</w:t>
            </w:r>
            <w:r>
              <w:rPr>
                <w:rFonts w:ascii="仿宋" w:hAnsi="仿宋" w:cs="仿宋" w:eastAsia="仿宋"/>
                <w:sz w:val="24"/>
              </w:rPr>
              <w:t>：</w:t>
            </w:r>
            <w:r>
              <w:rPr>
                <w:rFonts w:ascii="仿宋" w:hAnsi="仿宋" w:cs="仿宋" w:eastAsia="仿宋"/>
                <w:sz w:val="24"/>
              </w:rPr>
              <w:t>合同签订后</w:t>
            </w:r>
            <w:r>
              <w:rPr>
                <w:rFonts w:ascii="仿宋" w:hAnsi="仿宋" w:cs="仿宋" w:eastAsia="仿宋"/>
                <w:sz w:val="24"/>
              </w:rPr>
              <w:t>6</w:t>
            </w:r>
            <w:r>
              <w:rPr>
                <w:rFonts w:ascii="仿宋" w:hAnsi="仿宋" w:cs="仿宋" w:eastAsia="仿宋"/>
                <w:sz w:val="24"/>
              </w:rPr>
              <w:t>0</w:t>
            </w:r>
            <w:r>
              <w:rPr>
                <w:rFonts w:ascii="仿宋" w:hAnsi="仿宋" w:cs="仿宋" w:eastAsia="仿宋"/>
                <w:sz w:val="24"/>
              </w:rPr>
              <w:t>个工作日</w:t>
            </w:r>
          </w:p>
          <w:p>
            <w:pPr>
              <w:pStyle w:val="null3"/>
              <w:ind w:firstLine="480"/>
              <w:jc w:val="both"/>
            </w:pPr>
            <w:r>
              <w:rPr>
                <w:rFonts w:ascii="仿宋" w:hAnsi="仿宋" w:cs="仿宋" w:eastAsia="仿宋"/>
                <w:sz w:val="24"/>
              </w:rPr>
              <w:t>六、验收方式：分为两个阶段验收，第一阶段验收：设备上架调试完成后进行功能性验收。第二阶段验收：在功能性验收合格后，进行试运行阶段验收。</w:t>
            </w:r>
          </w:p>
          <w:p>
            <w:pPr>
              <w:pStyle w:val="null3"/>
              <w:ind w:firstLine="480"/>
              <w:jc w:val="both"/>
            </w:pPr>
            <w:r>
              <w:rPr>
                <w:rFonts w:ascii="仿宋" w:hAnsi="仿宋" w:cs="仿宋" w:eastAsia="仿宋"/>
                <w:sz w:val="24"/>
              </w:rPr>
              <w:t>七、付款</w:t>
            </w:r>
            <w:r>
              <w:rPr>
                <w:rFonts w:ascii="仿宋" w:hAnsi="仿宋" w:cs="仿宋" w:eastAsia="仿宋"/>
                <w:sz w:val="24"/>
              </w:rPr>
              <w:t>方式：两个阶段验收合格后，支付合同款项</w:t>
            </w:r>
            <w:r>
              <w:rPr>
                <w:rFonts w:ascii="仿宋" w:hAnsi="仿宋" w:cs="仿宋" w:eastAsia="仿宋"/>
                <w:sz w:val="24"/>
              </w:rPr>
              <w:t>100%。</w:t>
            </w:r>
          </w:p>
          <w:p>
            <w:pPr>
              <w:pStyle w:val="null3"/>
              <w:ind w:firstLine="480"/>
              <w:jc w:val="both"/>
            </w:pPr>
            <w:r>
              <w:rPr>
                <w:rFonts w:ascii="仿宋" w:hAnsi="仿宋" w:cs="仿宋" w:eastAsia="仿宋"/>
                <w:sz w:val="24"/>
              </w:rPr>
              <w:t>八、</w:t>
            </w:r>
            <w:r>
              <w:rPr>
                <w:rFonts w:ascii="仿宋" w:hAnsi="仿宋" w:cs="仿宋" w:eastAsia="仿宋"/>
                <w:sz w:val="24"/>
              </w:rPr>
              <w:t>采购设备</w:t>
            </w:r>
            <w:r>
              <w:rPr>
                <w:rFonts w:ascii="仿宋" w:hAnsi="仿宋" w:cs="仿宋" w:eastAsia="仿宋"/>
                <w:sz w:val="24"/>
              </w:rPr>
              <w:t>清单</w:t>
            </w:r>
          </w:p>
          <w:tbl>
            <w:tblPr>
              <w:tblBorders>
                <w:top w:val="none" w:color="000000" w:sz="4"/>
                <w:left w:val="none" w:color="000000" w:sz="4"/>
                <w:bottom w:val="none" w:color="000000" w:sz="4"/>
                <w:right w:val="none" w:color="000000" w:sz="4"/>
                <w:insideH w:val="none"/>
                <w:insideV w:val="none"/>
              </w:tblBorders>
            </w:tblPr>
            <w:tblGrid>
              <w:gridCol w:w="196"/>
              <w:gridCol w:w="453"/>
              <w:gridCol w:w="1694"/>
              <w:gridCol w:w="204"/>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2"/>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2"/>
                    </w:rPr>
                    <w:t>功能模块</w:t>
                  </w:r>
                </w:p>
              </w:tc>
              <w:tc>
                <w:tcPr>
                  <w:tcW w:type="dxa" w:w="1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2"/>
                    </w:rPr>
                    <w:t>简要描述</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sz w:val="22"/>
                    </w:rPr>
                    <w:t>数量</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灾备一体机扩容</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1、扩容</w:t>
                  </w:r>
                  <w:r>
                    <w:rPr>
                      <w:rFonts w:ascii="仿宋" w:hAnsi="仿宋" w:cs="仿宋" w:eastAsia="仿宋"/>
                      <w:sz w:val="20"/>
                    </w:rPr>
                    <w:t>3</w:t>
                  </w:r>
                  <w:r>
                    <w:rPr>
                      <w:rFonts w:ascii="仿宋" w:hAnsi="仿宋" w:cs="仿宋" w:eastAsia="仿宋"/>
                      <w:sz w:val="20"/>
                    </w:rPr>
                    <w:t>块</w:t>
                  </w:r>
                  <w:r>
                    <w:rPr>
                      <w:rFonts w:ascii="仿宋" w:hAnsi="仿宋" w:cs="仿宋" w:eastAsia="仿宋"/>
                      <w:sz w:val="20"/>
                    </w:rPr>
                    <w:t>*</w:t>
                  </w:r>
                  <w:r>
                    <w:rPr>
                      <w:rFonts w:ascii="仿宋" w:hAnsi="仿宋" w:cs="仿宋" w:eastAsia="仿宋"/>
                      <w:sz w:val="20"/>
                    </w:rPr>
                    <w:t>4</w:t>
                  </w:r>
                  <w:r>
                    <w:rPr>
                      <w:rFonts w:ascii="仿宋" w:hAnsi="仿宋" w:cs="仿宋" w:eastAsia="仿宋"/>
                      <w:sz w:val="20"/>
                    </w:rPr>
                    <w:t>TB SATA硬盘并配置相应的软件；</w:t>
                  </w:r>
                </w:p>
                <w:p>
                  <w:pPr>
                    <w:pStyle w:val="null3"/>
                    <w:jc w:val="left"/>
                  </w:pPr>
                  <w:r>
                    <w:rPr>
                      <w:rFonts w:ascii="仿宋" w:hAnsi="仿宋" w:cs="仿宋" w:eastAsia="仿宋"/>
                      <w:color w:val="000000"/>
                      <w:sz w:val="22"/>
                    </w:rPr>
                    <w:t>2</w:t>
                  </w:r>
                  <w:r>
                    <w:rPr>
                      <w:rFonts w:ascii="仿宋" w:hAnsi="仿宋" w:cs="仿宋" w:eastAsia="仿宋"/>
                      <w:color w:val="000000"/>
                      <w:sz w:val="22"/>
                    </w:rPr>
                    <w:t>、并且对现有备份一体机平台进行续保。</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2</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内网超融合扩容</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1"/>
                    </w:rPr>
                    <w:t>配置</w:t>
                  </w:r>
                  <w:r>
                    <w:rPr>
                      <w:rFonts w:ascii="仿宋" w:hAnsi="仿宋" w:cs="仿宋" w:eastAsia="仿宋"/>
                      <w:color w:val="000000"/>
                      <w:sz w:val="21"/>
                    </w:rPr>
                    <w:t>1个超融合节点。</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3</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外网环境改造设备</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1"/>
                    </w:rPr>
                    <w:t>新增</w:t>
                  </w:r>
                  <w:r>
                    <w:rPr>
                      <w:rFonts w:ascii="仿宋" w:hAnsi="仿宋" w:cs="仿宋" w:eastAsia="仿宋"/>
                      <w:color w:val="000000"/>
                      <w:sz w:val="21"/>
                    </w:rPr>
                    <w:t>2</w:t>
                  </w:r>
                  <w:r>
                    <w:rPr>
                      <w:rFonts w:ascii="仿宋" w:hAnsi="仿宋" w:cs="仿宋" w:eastAsia="仿宋"/>
                      <w:color w:val="000000"/>
                      <w:sz w:val="21"/>
                    </w:rPr>
                    <w:t>台外网核心交换机（核心产品）。</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4</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U</w:t>
                  </w:r>
                  <w:r>
                    <w:rPr>
                      <w:rFonts w:ascii="仿宋" w:hAnsi="仿宋" w:cs="仿宋" w:eastAsia="仿宋"/>
                      <w:sz w:val="21"/>
                    </w:rPr>
                    <w:t>PS电源</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1"/>
                    </w:rPr>
                    <w:t>配置数据中心机房专用</w:t>
                  </w:r>
                  <w:r>
                    <w:rPr>
                      <w:rFonts w:ascii="仿宋" w:hAnsi="仿宋" w:cs="仿宋" w:eastAsia="仿宋"/>
                      <w:color w:val="000000"/>
                      <w:sz w:val="21"/>
                    </w:rPr>
                    <w:t>UPS模块化电源</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1套</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5</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UPS电池</w:t>
                  </w:r>
                </w:p>
              </w:tc>
              <w:tc>
                <w:tcPr>
                  <w:tcW w:type="dxa" w:w="1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1"/>
                    </w:rPr>
                    <w:t>UPS电池：配置80块12V</w:t>
                  </w:r>
                  <w:r>
                    <w:rPr>
                      <w:rFonts w:ascii="calibri" w:hAnsi="calibri" w:cs="calibri" w:eastAsia="calibri"/>
                      <w:sz w:val="24"/>
                    </w:rPr>
                    <w:t xml:space="preserve"> </w:t>
                  </w:r>
                  <w:r>
                    <w:rPr>
                      <w:rFonts w:ascii="仿宋" w:hAnsi="仿宋" w:cs="仿宋" w:eastAsia="仿宋"/>
                      <w:color w:val="000000"/>
                      <w:sz w:val="21"/>
                    </w:rPr>
                    <w:t>100AH电池。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rPr>
                    <w:t>1套</w:t>
                  </w:r>
                </w:p>
              </w:tc>
            </w:tr>
            <w:tr>
              <w:tc>
                <w:tcPr>
                  <w:tcW w:type="dxa" w:w="23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总计</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color w:val="000000"/>
                <w:sz w:val="21"/>
              </w:rPr>
              <w:t>九、所有新建系统需与原有系统无缝对接。</w:t>
            </w:r>
          </w:p>
        </w:tc>
      </w:tr>
      <w:tr>
        <w:tc>
          <w:tcPr>
            <w:tcW w:type="dxa" w:w="2769"/>
          </w:tcPr>
          <w:p>
            <w:pPr>
              <w:pStyle w:val="null3"/>
            </w:pPr>
            <w:r>
              <w:rPr/>
              <w:t>▲</w:t>
            </w:r>
          </w:p>
        </w:tc>
        <w:tc>
          <w:tcPr>
            <w:tcW w:type="dxa" w:w="2769"/>
          </w:tcPr>
          <w:p>
            <w:pPr>
              <w:pStyle w:val="null3"/>
            </w:pPr>
            <w:r>
              <w:rPr/>
              <w:t>2</w:t>
            </w:r>
          </w:p>
        </w:tc>
        <w:tc>
          <w:tcPr>
            <w:tcW w:type="dxa" w:w="2769"/>
          </w:tcPr>
          <w:p>
            <w:pPr>
              <w:pStyle w:val="null3"/>
              <w:ind w:left="435"/>
              <w:jc w:val="both"/>
              <w:outlineLvl w:val="0"/>
            </w:pPr>
            <w:r>
              <w:rPr>
                <w:rFonts w:ascii="仿宋" w:hAnsi="仿宋" w:cs="仿宋" w:eastAsia="仿宋"/>
                <w:b/>
                <w:sz w:val="36"/>
              </w:rPr>
              <w:t>第二部分</w:t>
            </w:r>
            <w:r>
              <w:rPr>
                <w:rFonts w:ascii="仿宋" w:hAnsi="仿宋" w:cs="仿宋" w:eastAsia="仿宋"/>
                <w:b/>
                <w:sz w:val="36"/>
              </w:rPr>
              <w:t>技术参数</w:t>
            </w:r>
            <w:r>
              <w:rPr>
                <w:rFonts w:ascii="仿宋" w:hAnsi="仿宋" w:cs="仿宋" w:eastAsia="仿宋"/>
                <w:b/>
                <w:sz w:val="36"/>
              </w:rPr>
              <w:t>及服务要求</w:t>
            </w:r>
          </w:p>
          <w:p>
            <w:pPr>
              <w:pStyle w:val="null3"/>
              <w:numPr>
                <w:ilvl w:val="0"/>
                <w:numId w:val="1"/>
              </w:numPr>
            </w:pPr>
            <w:r>
              <w:rPr>
                <w:rFonts w:ascii="仿宋" w:hAnsi="仿宋" w:cs="仿宋" w:eastAsia="仿宋"/>
                <w:b/>
                <w:sz w:val="32"/>
              </w:rPr>
              <w:t>技术参数</w:t>
            </w:r>
          </w:p>
          <w:p>
            <w:pPr>
              <w:pStyle w:val="null3"/>
              <w:numPr>
                <w:ilvl w:val="2"/>
                <w:numId w:val="1"/>
              </w:numPr>
            </w:pPr>
            <w:r>
              <w:rPr>
                <w:rFonts w:ascii="宋体" w:hAnsi="宋体" w:cs="宋体" w:eastAsia="宋体"/>
                <w:b/>
                <w:sz w:val="24"/>
              </w:rPr>
              <w:t>灾备一体机扩容</w:t>
            </w:r>
          </w:p>
          <w:p>
            <w:pPr>
              <w:pStyle w:val="null3"/>
              <w:ind w:firstLine="480"/>
              <w:jc w:val="both"/>
            </w:pPr>
            <w:r>
              <w:rPr>
                <w:rFonts w:ascii="仿宋" w:hAnsi="仿宋" w:cs="仿宋" w:eastAsia="仿宋"/>
                <w:color w:val="121212"/>
                <w:sz w:val="24"/>
                <w:shd w:fill="FFFFFF" w:val="clear"/>
              </w:rPr>
              <w:t>2</w:t>
            </w:r>
            <w:r>
              <w:rPr>
                <w:rFonts w:ascii="仿宋" w:hAnsi="仿宋" w:cs="仿宋" w:eastAsia="仿宋"/>
                <w:color w:val="121212"/>
                <w:sz w:val="24"/>
                <w:shd w:fill="FFFFFF" w:val="clear"/>
              </w:rPr>
              <w:t>020</w:t>
            </w:r>
            <w:r>
              <w:rPr>
                <w:rFonts w:ascii="仿宋" w:hAnsi="仿宋" w:cs="仿宋" w:eastAsia="仿宋"/>
                <w:color w:val="121212"/>
                <w:sz w:val="24"/>
                <w:shd w:fill="FFFFFF" w:val="clear"/>
              </w:rPr>
              <w:t>年医院采购了</w:t>
            </w:r>
            <w:r>
              <w:rPr>
                <w:rFonts w:ascii="仿宋" w:hAnsi="仿宋" w:cs="仿宋" w:eastAsia="仿宋"/>
                <w:color w:val="121212"/>
                <w:sz w:val="24"/>
                <w:shd w:fill="FFFFFF" w:val="clear"/>
              </w:rPr>
              <w:t>1台鼎甲的</w:t>
            </w:r>
            <w:r>
              <w:rPr>
                <w:rFonts w:ascii="仿宋" w:hAnsi="仿宋" w:cs="仿宋" w:eastAsia="仿宋"/>
                <w:color w:val="121212"/>
                <w:sz w:val="24"/>
                <w:shd w:fill="FFFFFF" w:val="clear"/>
              </w:rPr>
              <w:t>DK2110</w:t>
            </w:r>
            <w:r>
              <w:rPr>
                <w:rFonts w:ascii="仿宋" w:hAnsi="仿宋" w:cs="仿宋" w:eastAsia="仿宋"/>
                <w:color w:val="121212"/>
                <w:sz w:val="24"/>
                <w:shd w:fill="FFFFFF" w:val="clear"/>
              </w:rPr>
              <w:t>备份一体机设备</w:t>
            </w:r>
            <w:r>
              <w:rPr>
                <w:rFonts w:ascii="仿宋" w:hAnsi="仿宋" w:cs="仿宋" w:eastAsia="仿宋"/>
                <w:color w:val="121212"/>
                <w:sz w:val="24"/>
                <w:shd w:fill="FFFFFF" w:val="clear"/>
              </w:rPr>
              <w:t>，用于医院核心业务数据的备份。</w:t>
            </w:r>
          </w:p>
          <w:p>
            <w:pPr>
              <w:pStyle w:val="null3"/>
              <w:ind w:firstLine="480"/>
              <w:jc w:val="both"/>
            </w:pPr>
            <w:r>
              <w:rPr>
                <w:rFonts w:ascii="仿宋" w:hAnsi="仿宋" w:cs="仿宋" w:eastAsia="仿宋"/>
                <w:color w:val="121212"/>
                <w:sz w:val="24"/>
                <w:shd w:fill="FFFFFF" w:val="clear"/>
              </w:rPr>
              <w:t>该设备配置为</w:t>
            </w:r>
            <w:r>
              <w:rPr>
                <w:rFonts w:ascii="仿宋" w:hAnsi="仿宋" w:cs="仿宋" w:eastAsia="仿宋"/>
                <w:color w:val="121212"/>
                <w:sz w:val="24"/>
                <w:shd w:fill="FFFFFF" w:val="clear"/>
              </w:rPr>
              <w:t>：</w:t>
            </w:r>
            <w:r>
              <w:rPr>
                <w:rFonts w:ascii="仿宋" w:hAnsi="仿宋" w:cs="仿宋" w:eastAsia="仿宋"/>
                <w:color w:val="121212"/>
                <w:sz w:val="24"/>
                <w:shd w:fill="FFFFFF" w:val="clear"/>
              </w:rPr>
              <w:t>2U机架式, 1*XEON E5-2620 v4（2.1GHz,8核16线程）, 2*240GB SSD,4*4T 3.5寸 7200RPM/SATA; 2*32G DDR4 RAM, 2*1GE 电口,双千兆光纤网卡,1G阵列卡+超级电容</w:t>
            </w:r>
            <w:r>
              <w:rPr>
                <w:rFonts w:ascii="仿宋" w:hAnsi="仿宋" w:cs="仿宋" w:eastAsia="仿宋"/>
                <w:color w:val="121212"/>
                <w:sz w:val="24"/>
                <w:shd w:fill="FFFFFF" w:val="clear"/>
              </w:rPr>
              <w:t>。</w:t>
            </w:r>
            <w:r>
              <w:rPr>
                <w:rFonts w:ascii="仿宋" w:hAnsi="仿宋" w:cs="仿宋" w:eastAsia="仿宋"/>
                <w:color w:val="121212"/>
                <w:sz w:val="24"/>
                <w:shd w:fill="FFFFFF" w:val="clear"/>
              </w:rPr>
              <w:t>默认包含以下模块：备份存储服务器【</w:t>
            </w:r>
            <w:r>
              <w:rPr>
                <w:rFonts w:ascii="仿宋" w:hAnsi="仿宋" w:cs="仿宋" w:eastAsia="仿宋"/>
                <w:color w:val="121212"/>
                <w:sz w:val="24"/>
                <w:shd w:fill="FFFFFF" w:val="clear"/>
              </w:rPr>
              <w:t>V8.0】，虚拟机备份/恢复服务器【V8.0】 国外厂家虚拟化软件，传统数据库 备份/恢复代理模块【V8.0】，开源数据库备份/恢复代理模块【V8.0】 ，群件备份/恢复代理模块【V8.0】，Oracle Rac备份/恢复代理模块【V8.0】，Oracle Data Guard 备份/恢复代理模块【V8.0】，Oracle 双机备份/恢复代理模块【V8.0】，整机备份/裸机恢复模块（BMR）【V8.0】，服务器文件备份/恢复代理模块【V8.0】，数据库容灾演练模块【V8.0】。Oracle、MySQL数据库连续日志保护模块1个【V8.0】</w:t>
            </w:r>
            <w:r>
              <w:rPr>
                <w:rFonts w:ascii="仿宋" w:hAnsi="仿宋" w:cs="仿宋" w:eastAsia="仿宋"/>
                <w:color w:val="121212"/>
                <w:sz w:val="24"/>
                <w:shd w:fill="FFFFFF" w:val="clear"/>
              </w:rPr>
              <w:t>。</w:t>
            </w:r>
          </w:p>
          <w:p>
            <w:pPr>
              <w:pStyle w:val="null3"/>
              <w:ind w:firstLine="480"/>
              <w:jc w:val="both"/>
            </w:pPr>
            <w:r>
              <w:rPr>
                <w:rFonts w:ascii="仿宋" w:hAnsi="仿宋" w:cs="仿宋" w:eastAsia="仿宋"/>
                <w:color w:val="121212"/>
                <w:sz w:val="24"/>
                <w:shd w:fill="FFFFFF" w:val="clear"/>
              </w:rPr>
              <w:t>在过去三年的使用过程中，该设备很好地承载了医院核心业务的数据备份作用，有效保障了核心业务数据的安全性。</w:t>
            </w:r>
          </w:p>
          <w:p>
            <w:pPr>
              <w:pStyle w:val="null3"/>
              <w:ind w:firstLine="480"/>
              <w:jc w:val="both"/>
            </w:pPr>
            <w:r>
              <w:rPr>
                <w:rFonts w:ascii="仿宋" w:hAnsi="仿宋" w:cs="仿宋" w:eastAsia="仿宋"/>
                <w:color w:val="121212"/>
                <w:sz w:val="24"/>
                <w:shd w:fill="FFFFFF" w:val="clear"/>
              </w:rPr>
              <w:t>现有鼎甲备份一体机部署于体检中心机房，作为整个业务系统的备份设备，实现行政楼机房核心业务系统环境、</w:t>
            </w:r>
            <w:r>
              <w:rPr>
                <w:rFonts w:ascii="仿宋" w:hAnsi="仿宋" w:cs="仿宋" w:eastAsia="仿宋"/>
                <w:color w:val="121212"/>
                <w:sz w:val="24"/>
                <w:shd w:fill="FFFFFF" w:val="clear"/>
              </w:rPr>
              <w:t>VMware虚拟化、物理机、数据库、文件等数据的备份与恢复。</w:t>
            </w:r>
          </w:p>
          <w:p>
            <w:pPr>
              <w:pStyle w:val="null3"/>
              <w:ind w:firstLine="482"/>
              <w:jc w:val="both"/>
            </w:pPr>
            <w:r>
              <w:rPr>
                <w:rFonts w:ascii="仿宋" w:hAnsi="仿宋" w:cs="仿宋" w:eastAsia="仿宋"/>
                <w:b/>
                <w:color w:val="121212"/>
                <w:sz w:val="24"/>
                <w:shd w:fill="FFFFFF" w:val="clear"/>
              </w:rPr>
              <w:t>文件备份</w:t>
            </w:r>
            <w:r>
              <w:rPr>
                <w:rFonts w:ascii="仿宋" w:hAnsi="仿宋" w:cs="仿宋" w:eastAsia="仿宋"/>
                <w:color w:val="121212"/>
                <w:sz w:val="24"/>
                <w:shd w:fill="FFFFFF" w:val="clear"/>
              </w:rPr>
              <w:t>：文件备份保护兼容不同操作系统平台下文件的备份、同步和恢复。</w:t>
            </w:r>
          </w:p>
          <w:p>
            <w:pPr>
              <w:pStyle w:val="null3"/>
              <w:ind w:firstLine="482"/>
              <w:jc w:val="both"/>
            </w:pPr>
            <w:r>
              <w:rPr>
                <w:rFonts w:ascii="仿宋" w:hAnsi="仿宋" w:cs="仿宋" w:eastAsia="仿宋"/>
                <w:b/>
                <w:color w:val="121212"/>
                <w:sz w:val="24"/>
                <w:shd w:fill="FFFFFF" w:val="clear"/>
              </w:rPr>
              <w:t>数据库备份保护</w:t>
            </w:r>
            <w:r>
              <w:rPr>
                <w:rFonts w:ascii="仿宋" w:hAnsi="仿宋" w:cs="仿宋" w:eastAsia="仿宋"/>
                <w:color w:val="121212"/>
                <w:sz w:val="24"/>
                <w:shd w:fill="FFFFFF" w:val="clear"/>
              </w:rPr>
              <w:t>：提供了数据库的热备份处理，数据备份期间不影响业务对数据库的使用，保障业务的连续性。</w:t>
            </w:r>
          </w:p>
          <w:p>
            <w:pPr>
              <w:pStyle w:val="null3"/>
              <w:ind w:firstLine="482"/>
              <w:jc w:val="both"/>
            </w:pPr>
            <w:r>
              <w:rPr>
                <w:rFonts w:ascii="仿宋" w:hAnsi="仿宋" w:cs="仿宋" w:eastAsia="仿宋"/>
                <w:b/>
                <w:color w:val="121212"/>
                <w:sz w:val="24"/>
                <w:shd w:fill="FFFFFF" w:val="clear"/>
              </w:rPr>
              <w:t>虚拟机保护</w:t>
            </w:r>
            <w:r>
              <w:rPr>
                <w:rFonts w:ascii="仿宋" w:hAnsi="仿宋" w:cs="仿宋" w:eastAsia="仿宋"/>
                <w:b/>
                <w:color w:val="121212"/>
                <w:sz w:val="24"/>
                <w:shd w:fill="FFFFFF" w:val="clear"/>
              </w:rPr>
              <w:t>：</w:t>
            </w:r>
            <w:r>
              <w:rPr>
                <w:rFonts w:ascii="仿宋" w:hAnsi="仿宋" w:cs="仿宋" w:eastAsia="仿宋"/>
                <w:color w:val="121212"/>
                <w:sz w:val="24"/>
                <w:shd w:fill="FFFFFF" w:val="clear"/>
              </w:rPr>
              <w:t>实现对</w:t>
            </w:r>
            <w:r>
              <w:rPr>
                <w:rFonts w:ascii="仿宋" w:hAnsi="仿宋" w:cs="仿宋" w:eastAsia="仿宋"/>
                <w:color w:val="121212"/>
                <w:sz w:val="24"/>
                <w:shd w:fill="FFFFFF" w:val="clear"/>
              </w:rPr>
              <w:t>VMware虚拟平台中的虚拟机进行备份，包括对多宿主机集群环境中的虚拟机进行备份。</w:t>
            </w:r>
          </w:p>
          <w:p>
            <w:pPr>
              <w:pStyle w:val="null3"/>
              <w:ind w:firstLine="480"/>
              <w:jc w:val="both"/>
            </w:pPr>
            <w:r>
              <w:rPr>
                <w:rFonts w:ascii="仿宋" w:hAnsi="仿宋" w:cs="仿宋" w:eastAsia="仿宋"/>
                <w:color w:val="121212"/>
                <w:sz w:val="24"/>
                <w:shd w:fill="FFFFFF" w:val="clear"/>
              </w:rPr>
              <w:t>备份一体机经过三年多使用，随着业务数据量的逐年增长，备份一体机的容量空间已经无法承载现有业务备份需求</w:t>
            </w:r>
            <w:r>
              <w:rPr>
                <w:rFonts w:ascii="仿宋" w:hAnsi="仿宋" w:cs="仿宋" w:eastAsia="仿宋"/>
                <w:color w:val="000000"/>
                <w:sz w:val="24"/>
                <w:shd w:fill="FFFFFF" w:val="clear"/>
              </w:rPr>
              <w:t>，需要进行容量扩容进一步满足业务增长需要。</w:t>
            </w:r>
          </w:p>
          <w:p>
            <w:pPr>
              <w:pStyle w:val="null3"/>
              <w:ind w:firstLine="480"/>
              <w:jc w:val="both"/>
            </w:pPr>
            <w:r>
              <w:rPr>
                <w:rFonts w:ascii="仿宋" w:hAnsi="仿宋" w:cs="仿宋" w:eastAsia="仿宋"/>
                <w:color w:val="000000"/>
                <w:sz w:val="24"/>
                <w:shd w:fill="FFFFFF" w:val="clear"/>
              </w:rPr>
              <w:t>另外基于备份系统自身安全性及勒索病毒感染风险，建议增加离线磁带库离线备份，磁带介质不受网络及文件系统病毒感染，采用物理存储机制安全级别更高，进一步保证数据安全性。</w:t>
            </w:r>
          </w:p>
          <w:p>
            <w:pPr>
              <w:pStyle w:val="null3"/>
              <w:ind w:firstLine="480"/>
              <w:jc w:val="both"/>
            </w:pPr>
            <w:r>
              <w:rPr>
                <w:rFonts w:ascii="仿宋" w:hAnsi="仿宋" w:cs="仿宋" w:eastAsia="仿宋"/>
                <w:sz w:val="24"/>
              </w:rPr>
              <w:t>技术要求如下：</w:t>
            </w:r>
          </w:p>
          <w:p>
            <w:pPr>
              <w:pStyle w:val="null3"/>
              <w:ind w:firstLine="480"/>
              <w:jc w:val="both"/>
            </w:pPr>
            <w:r>
              <w:rPr>
                <w:rFonts w:ascii="仿宋" w:hAnsi="仿宋" w:cs="仿宋" w:eastAsia="仿宋"/>
                <w:sz w:val="24"/>
              </w:rPr>
              <w:t>根据现有虚拟化、数据库、文件数据总体容量进行计算，并考虑后期业务增量的数据量，本次对现有备份一体机进行磁盘容量</w:t>
            </w:r>
            <w:r>
              <w:rPr>
                <w:rFonts w:ascii="仿宋" w:hAnsi="仿宋" w:cs="仿宋" w:eastAsia="仿宋"/>
                <w:sz w:val="24"/>
              </w:rPr>
              <w:t>扩容</w:t>
            </w:r>
            <w:r>
              <w:rPr>
                <w:rFonts w:ascii="仿宋" w:hAnsi="仿宋" w:cs="仿宋" w:eastAsia="仿宋"/>
                <w:sz w:val="24"/>
              </w:rPr>
              <w:t>，增加配置</w:t>
            </w:r>
            <w:r>
              <w:rPr>
                <w:rFonts w:ascii="仿宋" w:hAnsi="仿宋" w:cs="仿宋" w:eastAsia="仿宋"/>
                <w:sz w:val="24"/>
              </w:rPr>
              <w:t>3</w:t>
            </w:r>
            <w:r>
              <w:rPr>
                <w:rFonts w:ascii="仿宋" w:hAnsi="仿宋" w:cs="仿宋" w:eastAsia="仿宋"/>
                <w:sz w:val="24"/>
              </w:rPr>
              <w:t>块</w:t>
            </w:r>
            <w:r>
              <w:rPr>
                <w:rFonts w:ascii="仿宋" w:hAnsi="仿宋" w:cs="仿宋" w:eastAsia="仿宋"/>
                <w:sz w:val="24"/>
              </w:rPr>
              <w:t>4</w:t>
            </w:r>
            <w:r>
              <w:rPr>
                <w:rFonts w:ascii="仿宋" w:hAnsi="仿宋" w:cs="仿宋" w:eastAsia="仿宋"/>
                <w:sz w:val="24"/>
              </w:rPr>
              <w:t>TB</w:t>
            </w:r>
            <w:r>
              <w:rPr>
                <w:rFonts w:ascii="仿宋" w:hAnsi="仿宋" w:cs="仿宋" w:eastAsia="仿宋"/>
                <w:sz w:val="24"/>
              </w:rPr>
              <w:t>硬盘，可用容量可</w:t>
            </w:r>
            <w:r>
              <w:rPr>
                <w:rFonts w:ascii="仿宋" w:hAnsi="仿宋" w:cs="仿宋" w:eastAsia="仿宋"/>
                <w:sz w:val="24"/>
              </w:rPr>
              <w:t>≥</w:t>
            </w:r>
            <w:r>
              <w:rPr>
                <w:rFonts w:ascii="仿宋" w:hAnsi="仿宋" w:cs="仿宋" w:eastAsia="仿宋"/>
                <w:sz w:val="24"/>
              </w:rPr>
              <w:t>10TB</w:t>
            </w:r>
            <w:r>
              <w:rPr>
                <w:rFonts w:ascii="仿宋" w:hAnsi="仿宋" w:cs="仿宋" w:eastAsia="仿宋"/>
                <w:sz w:val="24"/>
              </w:rPr>
              <w:t>。</w:t>
            </w:r>
          </w:p>
          <w:p>
            <w:pPr>
              <w:pStyle w:val="null3"/>
              <w:ind w:firstLine="480"/>
              <w:jc w:val="both"/>
            </w:pPr>
            <w:r>
              <w:rPr>
                <w:rFonts w:ascii="仿宋" w:hAnsi="仿宋" w:cs="仿宋" w:eastAsia="仿宋"/>
                <w:sz w:val="24"/>
              </w:rPr>
              <w:t>同时对现有备份一体机购买软硬件维保。</w:t>
            </w:r>
          </w:p>
          <w:tbl>
            <w:tblPr>
              <w:tblBorders>
                <w:top w:val="none" w:color="000000" w:sz="4"/>
                <w:left w:val="none" w:color="000000" w:sz="4"/>
                <w:bottom w:val="none" w:color="000000" w:sz="4"/>
                <w:right w:val="none" w:color="000000" w:sz="4"/>
                <w:insideH w:val="none"/>
                <w:insideV w:val="none"/>
              </w:tblBorders>
            </w:tblPr>
            <w:tblGrid>
              <w:gridCol w:w="210"/>
              <w:gridCol w:w="678"/>
              <w:gridCol w:w="1666"/>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2"/>
                    </w:rPr>
                    <w:t>序号</w:t>
                  </w:r>
                </w:p>
              </w:tc>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2"/>
                    </w:rPr>
                    <w:t>项目</w:t>
                  </w:r>
                </w:p>
              </w:tc>
              <w:tc>
                <w:tcPr>
                  <w:tcW w:type="dxa" w:w="1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仿宋" w:hAnsi="仿宋" w:cs="仿宋" w:eastAsia="仿宋"/>
                      <w:b/>
                      <w:color w:val="000000"/>
                      <w:sz w:val="22"/>
                    </w:rPr>
                    <w:t>技术参数</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DK2110备份一体机存储容量扩容</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color w:val="000000"/>
                      <w:sz w:val="24"/>
                    </w:rPr>
                    <w:t>在原设备配置基础上增配3块4</w:t>
                  </w:r>
                  <w:r>
                    <w:rPr>
                      <w:rFonts w:ascii="仿宋" w:hAnsi="仿宋" w:cs="仿宋" w:eastAsia="仿宋"/>
                      <w:color w:val="000000"/>
                      <w:sz w:val="22"/>
                    </w:rPr>
                    <w:t>TB</w:t>
                  </w:r>
                  <w:r>
                    <w:rPr>
                      <w:rFonts w:ascii="仿宋" w:hAnsi="仿宋" w:cs="仿宋" w:eastAsia="仿宋"/>
                      <w:color w:val="000000"/>
                      <w:sz w:val="22"/>
                    </w:rPr>
                    <w:t>硬盘，</w:t>
                  </w:r>
                  <w:r>
                    <w:rPr>
                      <w:rFonts w:ascii="仿宋" w:hAnsi="仿宋" w:cs="仿宋" w:eastAsia="仿宋"/>
                      <w:color w:val="000000"/>
                      <w:sz w:val="22"/>
                    </w:rPr>
                    <w:t>重新</w:t>
                  </w:r>
                  <w:r>
                    <w:rPr>
                      <w:rFonts w:ascii="仿宋" w:hAnsi="仿宋" w:cs="仿宋" w:eastAsia="仿宋"/>
                      <w:color w:val="000000"/>
                      <w:sz w:val="22"/>
                    </w:rPr>
                    <w:t>RAID，</w:t>
                  </w:r>
                  <w:r>
                    <w:rPr>
                      <w:rFonts w:ascii="仿宋" w:hAnsi="仿宋" w:cs="仿宋" w:eastAsia="仿宋"/>
                      <w:color w:val="000000"/>
                      <w:sz w:val="22"/>
                    </w:rPr>
                    <w:t>RAID后的可用容量可增加</w:t>
                  </w:r>
                  <w:r>
                    <w:rPr>
                      <w:rFonts w:ascii="仿宋" w:hAnsi="仿宋" w:cs="仿宋" w:eastAsia="仿宋"/>
                      <w:color w:val="000000"/>
                      <w:sz w:val="22"/>
                    </w:rPr>
                    <w:t>10TB，</w:t>
                  </w:r>
                  <w:r>
                    <w:rPr>
                      <w:rFonts w:ascii="仿宋" w:hAnsi="仿宋" w:cs="仿宋" w:eastAsia="仿宋"/>
                      <w:color w:val="000000"/>
                      <w:sz w:val="22"/>
                    </w:rPr>
                    <w:t>扩容后设备功能与扩容前一致并能保证正常使用。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w:t>
                  </w:r>
                </w:p>
              </w:tc>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DK2110备份一体机软硬件维保服务</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提供</w:t>
                  </w:r>
                  <w:r>
                    <w:rPr>
                      <w:rFonts w:ascii="仿宋" w:hAnsi="仿宋" w:cs="仿宋" w:eastAsia="仿宋"/>
                      <w:color w:val="000000"/>
                      <w:sz w:val="22"/>
                    </w:rPr>
                    <w:t>3年软硬件维保，</w:t>
                  </w:r>
                  <w:r>
                    <w:rPr>
                      <w:rFonts w:ascii="仿宋" w:hAnsi="仿宋" w:cs="仿宋" w:eastAsia="仿宋"/>
                      <w:color w:val="000000"/>
                      <w:sz w:val="22"/>
                    </w:rPr>
                    <w:t>维保服务的人员必须为所投产品制造商人员</w:t>
                  </w:r>
                </w:p>
              </w:tc>
            </w:tr>
          </w:tbl>
          <w:p>
            <w:pPr>
              <w:pStyle w:val="null3"/>
              <w:numPr>
                <w:ilvl w:val="2"/>
                <w:numId w:val="1"/>
              </w:numPr>
              <w:spacing w:after="120"/>
              <w:jc w:val="both"/>
            </w:pPr>
            <w:r>
              <w:rPr>
                <w:rFonts w:ascii="宋体" w:hAnsi="宋体" w:cs="宋体" w:eastAsia="宋体"/>
                <w:b/>
                <w:sz w:val="24"/>
              </w:rPr>
              <w:t>内网超融合扩容</w:t>
            </w:r>
          </w:p>
          <w:p>
            <w:pPr>
              <w:pStyle w:val="null3"/>
              <w:ind w:firstLine="480"/>
              <w:jc w:val="both"/>
            </w:pPr>
            <w:r>
              <w:rPr>
                <w:rFonts w:ascii="仿宋" w:hAnsi="仿宋" w:cs="仿宋" w:eastAsia="仿宋"/>
                <w:sz w:val="24"/>
              </w:rPr>
              <w:t>2</w:t>
            </w:r>
            <w:r>
              <w:rPr>
                <w:rFonts w:ascii="仿宋" w:hAnsi="仿宋" w:cs="仿宋" w:eastAsia="仿宋"/>
                <w:sz w:val="24"/>
              </w:rPr>
              <w:t>020</w:t>
            </w:r>
            <w:r>
              <w:rPr>
                <w:rFonts w:ascii="仿宋" w:hAnsi="仿宋" w:cs="仿宋" w:eastAsia="仿宋"/>
                <w:sz w:val="24"/>
              </w:rPr>
              <w:t>年医院采购了</w:t>
            </w:r>
            <w:r>
              <w:rPr>
                <w:rFonts w:ascii="仿宋" w:hAnsi="仿宋" w:cs="仿宋" w:eastAsia="仿宋"/>
                <w:sz w:val="24"/>
              </w:rPr>
              <w:t>1套D</w:t>
            </w:r>
            <w:r>
              <w:rPr>
                <w:rFonts w:ascii="仿宋" w:hAnsi="仿宋" w:cs="仿宋" w:eastAsia="仿宋"/>
                <w:sz w:val="24"/>
              </w:rPr>
              <w:t xml:space="preserve">ELL </w:t>
            </w:r>
            <w:r>
              <w:rPr>
                <w:rFonts w:ascii="仿宋" w:hAnsi="仿宋" w:cs="仿宋" w:eastAsia="仿宋"/>
                <w:sz w:val="24"/>
              </w:rPr>
              <w:t>EMC的</w:t>
            </w:r>
            <w:r>
              <w:rPr>
                <w:rFonts w:ascii="仿宋" w:hAnsi="仿宋" w:cs="仿宋" w:eastAsia="仿宋"/>
                <w:sz w:val="24"/>
              </w:rPr>
              <w:t>VXRail P570</w:t>
            </w:r>
            <w:r>
              <w:rPr>
                <w:rFonts w:ascii="仿宋" w:hAnsi="仿宋" w:cs="仿宋" w:eastAsia="仿宋"/>
                <w:sz w:val="24"/>
              </w:rPr>
              <w:t>超融合资源池，该超融合资源配置为：</w:t>
            </w:r>
          </w:p>
          <w:p>
            <w:pPr>
              <w:pStyle w:val="null3"/>
              <w:ind w:firstLine="480"/>
              <w:jc w:val="both"/>
            </w:pPr>
            <w:r>
              <w:rPr>
                <w:rFonts w:ascii="仿宋" w:hAnsi="仿宋" w:cs="仿宋" w:eastAsia="仿宋"/>
                <w:sz w:val="24"/>
              </w:rPr>
              <w:t>超融合云平台</w:t>
            </w:r>
            <w:r>
              <w:rPr>
                <w:rFonts w:ascii="仿宋" w:hAnsi="仿宋" w:cs="仿宋" w:eastAsia="仿宋"/>
                <w:sz w:val="24"/>
              </w:rPr>
              <w:t>VXRail P570：体系架构：采用计算与存储超融合集群软硬件一体化架构设计，整个集群可平滑、不停业务的在线扩展；集群配置：本次项目集群整体总计包含</w:t>
            </w:r>
            <w:r>
              <w:rPr>
                <w:rFonts w:ascii="仿宋" w:hAnsi="仿宋" w:cs="仿宋" w:eastAsia="仿宋"/>
                <w:b/>
                <w:sz w:val="24"/>
              </w:rPr>
              <w:t>5个</w:t>
            </w:r>
            <w:r>
              <w:rPr>
                <w:rFonts w:ascii="仿宋" w:hAnsi="仿宋" w:cs="仿宋" w:eastAsia="仿宋"/>
                <w:sz w:val="24"/>
              </w:rPr>
              <w:t>VXRail P570节点，机箱整体采用冗余架构设计，冗余电源、风扇模块；</w:t>
            </w:r>
          </w:p>
          <w:p>
            <w:pPr>
              <w:pStyle w:val="null3"/>
              <w:ind w:firstLine="480"/>
              <w:jc w:val="both"/>
            </w:pPr>
            <w:r>
              <w:rPr>
                <w:rFonts w:ascii="仿宋" w:hAnsi="仿宋" w:cs="仿宋" w:eastAsia="仿宋"/>
                <w:sz w:val="24"/>
              </w:rPr>
              <w:t>由于现有超融合资源池的内存利用率比较高，为满足整体架构稳定及后续业务需求，现需要扩容一个超融合资源节点。</w:t>
            </w:r>
          </w:p>
          <w:p>
            <w:pPr>
              <w:pStyle w:val="null3"/>
              <w:ind w:firstLine="480"/>
              <w:jc w:val="both"/>
            </w:pPr>
            <w:r>
              <w:rPr>
                <w:rFonts w:ascii="仿宋" w:hAnsi="仿宋" w:cs="仿宋" w:eastAsia="仿宋"/>
                <w:sz w:val="24"/>
              </w:rPr>
              <w:t>本次新增</w:t>
            </w:r>
            <w:r>
              <w:rPr>
                <w:rFonts w:ascii="仿宋" w:hAnsi="仿宋" w:cs="仿宋" w:eastAsia="仿宋"/>
                <w:sz w:val="24"/>
              </w:rPr>
              <w:t>1个节点的超融合资源，该节点资源技术要求如下：</w:t>
            </w:r>
          </w:p>
          <w:tbl>
            <w:tblPr>
              <w:tblBorders>
                <w:top w:val="none" w:color="000000" w:sz="4"/>
                <w:left w:val="none" w:color="000000" w:sz="4"/>
                <w:bottom w:val="none" w:color="000000" w:sz="4"/>
                <w:right w:val="none" w:color="000000" w:sz="4"/>
                <w:insideH w:val="none"/>
                <w:insideV w:val="none"/>
              </w:tblBorders>
            </w:tblPr>
            <w:tblGrid>
              <w:gridCol w:w="276"/>
              <w:gridCol w:w="388"/>
              <w:gridCol w:w="1889"/>
            </w:tblGrid>
            <w:tr>
              <w:tc>
                <w:tcPr>
                  <w:tcW w:type="dxa" w:w="276"/>
                  <w:tcBorders>
                    <w:top w:val="singl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b/>
                      <w:sz w:val="24"/>
                    </w:rPr>
                    <w:t>类型</w:t>
                  </w:r>
                </w:p>
              </w:tc>
              <w:tc>
                <w:tcPr>
                  <w:tcW w:type="dxa" w:w="388"/>
                  <w:tcBorders>
                    <w:top w:val="singl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b/>
                      <w:sz w:val="24"/>
                    </w:rPr>
                    <w:t>项目</w:t>
                  </w:r>
                </w:p>
              </w:tc>
              <w:tc>
                <w:tcPr>
                  <w:tcW w:type="dxa" w:w="1889"/>
                  <w:tcBorders>
                    <w:top w:val="singl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b/>
                      <w:sz w:val="24"/>
                    </w:rPr>
                    <w:t>技术参数要求</w:t>
                  </w:r>
                </w:p>
              </w:tc>
            </w:tr>
            <w:tr>
              <w:tc>
                <w:tcPr>
                  <w:tcW w:type="dxa" w:w="276"/>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b/>
                      <w:sz w:val="24"/>
                    </w:rPr>
                    <w:t>产品</w:t>
                  </w:r>
                </w:p>
                <w:p>
                  <w:pPr>
                    <w:pStyle w:val="null3"/>
                    <w:jc w:val="center"/>
                  </w:pPr>
                  <w:r>
                    <w:rPr>
                      <w:rFonts w:ascii="仿宋" w:hAnsi="仿宋" w:cs="仿宋" w:eastAsia="仿宋"/>
                      <w:b/>
                      <w:sz w:val="24"/>
                    </w:rPr>
                    <w:t>定位</w:t>
                  </w: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平台兼容性</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本次扩充超融合系统将承载我院核心内网医疗数据中心业务，须与现有超融合平台平滑对接，保证数据的连通性和互通性</w:t>
                  </w:r>
                  <w:r>
                    <w:rPr>
                      <w:rFonts w:ascii="仿宋" w:hAnsi="仿宋" w:cs="仿宋" w:eastAsia="仿宋"/>
                      <w:sz w:val="24"/>
                    </w:rPr>
                    <w:t>（须提供与现有超融合平台对接的可行性证明及良好运行的兼容性证明）。</w:t>
                  </w:r>
                  <w:r>
                    <w:rPr>
                      <w:rFonts w:ascii="仿宋" w:hAnsi="仿宋" w:cs="仿宋" w:eastAsia="仿宋"/>
                      <w:sz w:val="24"/>
                    </w:rPr>
                    <w:t>（</w:t>
                  </w:r>
                  <w:r>
                    <w:rPr>
                      <w:rFonts w:ascii="仿宋" w:hAnsi="仿宋" w:cs="仿宋" w:eastAsia="仿宋"/>
                      <w:sz w:val="24"/>
                    </w:rPr>
                    <w:t>提供承诺函</w:t>
                  </w:r>
                  <w:r>
                    <w:rPr>
                      <w:rFonts w:ascii="仿宋" w:hAnsi="仿宋" w:cs="仿宋" w:eastAsia="仿宋"/>
                      <w:sz w:val="24"/>
                    </w:rPr>
                    <w:t>）</w:t>
                  </w:r>
                </w:p>
              </w:tc>
            </w:tr>
            <w:tr>
              <w:tc>
                <w:tcPr>
                  <w:tcW w:type="dxa" w:w="276"/>
                  <w:vMerge w:val="restart"/>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b/>
                      <w:sz w:val="24"/>
                    </w:rPr>
                    <w:t>架构</w:t>
                  </w:r>
                </w:p>
                <w:p>
                  <w:pPr>
                    <w:pStyle w:val="null3"/>
                    <w:jc w:val="center"/>
                  </w:pPr>
                  <w:r>
                    <w:rPr>
                      <w:rFonts w:ascii="仿宋" w:hAnsi="仿宋" w:cs="仿宋" w:eastAsia="仿宋"/>
                      <w:b/>
                      <w:sz w:val="24"/>
                    </w:rPr>
                    <w:t>要求</w:t>
                  </w: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集群规模</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采用</w:t>
                  </w:r>
                  <w:r>
                    <w:rPr>
                      <w:rFonts w:ascii="仿宋" w:hAnsi="仿宋" w:cs="仿宋" w:eastAsia="仿宋"/>
                      <w:sz w:val="24"/>
                    </w:rPr>
                    <w:t>横向</w:t>
                  </w:r>
                  <w:r>
                    <w:rPr>
                      <w:rFonts w:ascii="仿宋" w:hAnsi="仿宋" w:cs="仿宋" w:eastAsia="仿宋"/>
                      <w:sz w:val="24"/>
                    </w:rPr>
                    <w:t>扩展架构</w:t>
                  </w:r>
                  <w:r>
                    <w:rPr>
                      <w:rFonts w:ascii="仿宋" w:hAnsi="仿宋" w:cs="仿宋" w:eastAsia="仿宋"/>
                      <w:sz w:val="24"/>
                    </w:rPr>
                    <w:t>，当前配置</w:t>
                  </w:r>
                  <w:r>
                    <w:rPr>
                      <w:rFonts w:ascii="仿宋" w:hAnsi="仿宋" w:cs="仿宋" w:eastAsia="仿宋"/>
                      <w:b/>
                      <w:sz w:val="24"/>
                    </w:rPr>
                    <w:t>1</w:t>
                  </w:r>
                  <w:r>
                    <w:rPr>
                      <w:rFonts w:ascii="仿宋" w:hAnsi="仿宋" w:cs="仿宋" w:eastAsia="仿宋"/>
                      <w:b/>
                      <w:sz w:val="24"/>
                    </w:rPr>
                    <w:t>个节点</w:t>
                  </w:r>
                  <w:r>
                    <w:rPr>
                      <w:rFonts w:ascii="仿宋" w:hAnsi="仿宋" w:cs="仿宋" w:eastAsia="仿宋"/>
                      <w:sz w:val="24"/>
                    </w:rPr>
                    <w:t>，集群</w:t>
                  </w:r>
                  <w:r>
                    <w:rPr>
                      <w:rFonts w:ascii="仿宋" w:hAnsi="仿宋" w:cs="仿宋" w:eastAsia="仿宋"/>
                      <w:sz w:val="24"/>
                    </w:rPr>
                    <w:t>支持</w:t>
                  </w:r>
                  <w:r>
                    <w:rPr>
                      <w:rFonts w:ascii="仿宋" w:hAnsi="仿宋" w:cs="仿宋" w:eastAsia="仿宋"/>
                      <w:sz w:val="24"/>
                    </w:rPr>
                    <w:t>≥</w:t>
                  </w:r>
                  <w:r>
                    <w:rPr>
                      <w:rFonts w:ascii="仿宋" w:hAnsi="仿宋" w:cs="仿宋" w:eastAsia="仿宋"/>
                      <w:sz w:val="24"/>
                    </w:rPr>
                    <w:t>64个节点；</w:t>
                  </w:r>
                </w:p>
              </w:tc>
            </w:tr>
            <w:tr>
              <w:tc>
                <w:tcPr>
                  <w:tcW w:type="dxa" w:w="276"/>
                  <w:vMerge/>
                  <w:tcBorders>
                    <w:top w:val="outset" w:color="000000" w:sz="4"/>
                    <w:left w:val="single" w:color="000000" w:sz="4"/>
                    <w:bottom w:val="outset" w:color="000000" w:sz="4"/>
                    <w:right w:val="single" w:color="000000" w:sz="4"/>
                  </w:tcBorders>
                </w:tcP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部署架构</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存储虚拟化与计算虚拟化结合，不需要为分布式存储单独安装部署控制虚拟机；</w:t>
                  </w:r>
                </w:p>
              </w:tc>
            </w:tr>
            <w:tr>
              <w:tc>
                <w:tcPr>
                  <w:tcW w:type="dxa" w:w="276"/>
                  <w:vMerge/>
                  <w:tcBorders>
                    <w:top w:val="outset" w:color="000000" w:sz="4"/>
                    <w:left w:val="single" w:color="000000" w:sz="4"/>
                    <w:bottom w:val="outset" w:color="000000" w:sz="4"/>
                    <w:right w:val="single" w:color="000000" w:sz="4"/>
                  </w:tcBorders>
                </w:tcP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数据可靠性</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节点磁盘无需做</w:t>
                  </w:r>
                  <w:r>
                    <w:rPr>
                      <w:rFonts w:ascii="仿宋" w:hAnsi="仿宋" w:cs="仿宋" w:eastAsia="仿宋"/>
                      <w:sz w:val="24"/>
                    </w:rPr>
                    <w:t>RAID，通过副本镜像方式保证数据可靠性，可选择1副本、2副本、3副本、4副本；也可以通过纠删码方式保证数据可靠性；</w:t>
                  </w:r>
                </w:p>
              </w:tc>
            </w:tr>
            <w:tr>
              <w:tc>
                <w:tcPr>
                  <w:tcW w:type="dxa" w:w="276"/>
                  <w:vMerge w:val="restart"/>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b/>
                      <w:sz w:val="24"/>
                    </w:rPr>
                    <w:t>硬件要求</w:t>
                  </w: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计算组件</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支持</w:t>
                  </w:r>
                  <w:r>
                    <w:rPr>
                      <w:rFonts w:ascii="仿宋" w:hAnsi="仿宋" w:cs="仿宋" w:eastAsia="仿宋"/>
                      <w:sz w:val="24"/>
                    </w:rPr>
                    <w:t xml:space="preserve">Intel Xeon </w:t>
                  </w:r>
                  <w:r>
                    <w:rPr>
                      <w:rFonts w:ascii="仿宋" w:hAnsi="仿宋" w:cs="仿宋" w:eastAsia="仿宋"/>
                      <w:sz w:val="24"/>
                    </w:rPr>
                    <w:t>第三代英特尔至强可扩展处理器；</w:t>
                  </w:r>
                  <w:r>
                    <w:rPr>
                      <w:rFonts w:ascii="仿宋" w:hAnsi="仿宋" w:cs="仿宋" w:eastAsia="仿宋"/>
                      <w:sz w:val="24"/>
                    </w:rPr>
                    <w:t>每个节点配置</w:t>
                  </w:r>
                  <w:r>
                    <w:rPr>
                      <w:rFonts w:ascii="仿宋" w:hAnsi="仿宋" w:cs="仿宋" w:eastAsia="仿宋"/>
                      <w:color w:val="000000"/>
                      <w:sz w:val="22"/>
                    </w:rPr>
                    <w:t>≥</w:t>
                  </w:r>
                  <w:r>
                    <w:rPr>
                      <w:rFonts w:ascii="仿宋" w:hAnsi="仿宋" w:cs="仿宋" w:eastAsia="仿宋"/>
                      <w:sz w:val="24"/>
                    </w:rPr>
                    <w:t>2</w:t>
                  </w:r>
                  <w:r>
                    <w:rPr>
                      <w:rFonts w:ascii="仿宋" w:hAnsi="仿宋" w:cs="仿宋" w:eastAsia="仿宋"/>
                      <w:sz w:val="24"/>
                    </w:rPr>
                    <w:t>颗</w:t>
                  </w:r>
                  <w:r>
                    <w:rPr>
                      <w:rFonts w:ascii="仿宋" w:hAnsi="仿宋" w:cs="仿宋" w:eastAsia="仿宋"/>
                      <w:sz w:val="24"/>
                    </w:rPr>
                    <w:t>Intel中央处理器(</w:t>
                  </w:r>
                  <w:r>
                    <w:rPr>
                      <w:rFonts w:ascii="仿宋" w:hAnsi="仿宋" w:cs="仿宋" w:eastAsia="仿宋"/>
                      <w:color w:val="000000"/>
                      <w:sz w:val="22"/>
                    </w:rPr>
                    <w:t>≥</w:t>
                  </w:r>
                  <w:r>
                    <w:rPr>
                      <w:rFonts w:ascii="仿宋" w:hAnsi="仿宋" w:cs="仿宋" w:eastAsia="仿宋"/>
                      <w:sz w:val="24"/>
                    </w:rPr>
                    <w:t>2</w:t>
                  </w:r>
                  <w:r>
                    <w:rPr>
                      <w:rFonts w:ascii="仿宋" w:hAnsi="仿宋" w:cs="仿宋" w:eastAsia="仿宋"/>
                      <w:sz w:val="24"/>
                    </w:rPr>
                    <w:t>6</w:t>
                  </w:r>
                  <w:r>
                    <w:rPr>
                      <w:rFonts w:ascii="仿宋" w:hAnsi="仿宋" w:cs="仿宋" w:eastAsia="仿宋"/>
                      <w:sz w:val="24"/>
                    </w:rPr>
                    <w:t>核</w:t>
                  </w:r>
                  <w:r>
                    <w:rPr>
                      <w:rFonts w:ascii="仿宋" w:hAnsi="仿宋" w:cs="仿宋" w:eastAsia="仿宋"/>
                      <w:sz w:val="24"/>
                    </w:rPr>
                    <w:t>,</w:t>
                  </w:r>
                  <w:r>
                    <w:rPr>
                      <w:rFonts w:ascii="仿宋" w:hAnsi="仿宋" w:cs="仿宋" w:eastAsia="仿宋"/>
                      <w:color w:val="000000"/>
                      <w:sz w:val="22"/>
                    </w:rPr>
                    <w:t xml:space="preserve"> </w:t>
                  </w:r>
                  <w:r>
                    <w:rPr>
                      <w:rFonts w:ascii="仿宋" w:hAnsi="仿宋" w:cs="仿宋" w:eastAsia="仿宋"/>
                      <w:color w:val="000000"/>
                      <w:sz w:val="22"/>
                    </w:rPr>
                    <w:t>≥</w:t>
                  </w:r>
                  <w:r>
                    <w:rPr>
                      <w:rFonts w:ascii="仿宋" w:hAnsi="仿宋" w:cs="仿宋" w:eastAsia="仿宋"/>
                      <w:sz w:val="24"/>
                    </w:rPr>
                    <w:t>2.2GHz)</w:t>
                  </w:r>
                  <w:r>
                    <w:rPr>
                      <w:rFonts w:ascii="仿宋" w:hAnsi="仿宋" w:cs="仿宋" w:eastAsia="仿宋"/>
                      <w:sz w:val="24"/>
                    </w:rPr>
                    <w:t>；</w:t>
                  </w:r>
                </w:p>
                <w:p>
                  <w:pPr>
                    <w:pStyle w:val="null3"/>
                    <w:jc w:val="both"/>
                  </w:pPr>
                  <w:r>
                    <w:rPr>
                      <w:rFonts w:ascii="仿宋" w:hAnsi="仿宋" w:cs="仿宋" w:eastAsia="仿宋"/>
                      <w:sz w:val="24"/>
                    </w:rPr>
                    <w:t>每个节点本次配置</w:t>
                  </w:r>
                  <w:r>
                    <w:rPr>
                      <w:rFonts w:ascii="仿宋" w:hAnsi="仿宋" w:cs="仿宋" w:eastAsia="仿宋"/>
                      <w:color w:val="000000"/>
                      <w:sz w:val="22"/>
                    </w:rPr>
                    <w:t>≥</w:t>
                  </w:r>
                  <w:r>
                    <w:rPr>
                      <w:rFonts w:ascii="仿宋" w:hAnsi="仿宋" w:cs="仿宋" w:eastAsia="仿宋"/>
                      <w:b/>
                      <w:sz w:val="24"/>
                    </w:rPr>
                    <w:t>1024</w:t>
                  </w:r>
                  <w:r>
                    <w:rPr>
                      <w:rFonts w:ascii="仿宋" w:hAnsi="仿宋" w:cs="仿宋" w:eastAsia="仿宋"/>
                      <w:b/>
                      <w:sz w:val="24"/>
                    </w:rPr>
                    <w:t xml:space="preserve">GB </w:t>
                  </w:r>
                  <w:r>
                    <w:rPr>
                      <w:rFonts w:ascii="仿宋" w:hAnsi="仿宋" w:cs="仿宋" w:eastAsia="仿宋"/>
                      <w:sz w:val="24"/>
                    </w:rPr>
                    <w:t>DDR</w:t>
                  </w:r>
                  <w:r>
                    <w:rPr>
                      <w:rFonts w:ascii="仿宋" w:hAnsi="仿宋" w:cs="仿宋" w:eastAsia="仿宋"/>
                      <w:sz w:val="24"/>
                    </w:rPr>
                    <w:t>4内存</w:t>
                  </w:r>
                  <w:r>
                    <w:rPr>
                      <w:rFonts w:ascii="仿宋" w:hAnsi="仿宋" w:cs="仿宋" w:eastAsia="仿宋"/>
                      <w:sz w:val="24"/>
                    </w:rPr>
                    <w:t>；</w:t>
                  </w:r>
                </w:p>
              </w:tc>
            </w:tr>
            <w:tr>
              <w:tc>
                <w:tcPr>
                  <w:tcW w:type="dxa" w:w="276"/>
                  <w:vMerge/>
                  <w:tcBorders>
                    <w:top w:val="outset" w:color="000000" w:sz="4"/>
                    <w:left w:val="single" w:color="000000" w:sz="4"/>
                    <w:bottom w:val="outset" w:color="000000" w:sz="4"/>
                    <w:right w:val="single" w:color="000000" w:sz="4"/>
                  </w:tcBorders>
                </w:tcP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网络组件</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每个节点配置</w:t>
                  </w:r>
                  <w:r>
                    <w:rPr>
                      <w:rFonts w:ascii="仿宋" w:hAnsi="仿宋" w:cs="仿宋" w:eastAsia="仿宋"/>
                      <w:color w:val="000000"/>
                      <w:sz w:val="22"/>
                    </w:rPr>
                    <w:t>≥</w:t>
                  </w:r>
                  <w:r>
                    <w:rPr>
                      <w:rFonts w:ascii="仿宋" w:hAnsi="仿宋" w:cs="仿宋" w:eastAsia="仿宋"/>
                      <w:sz w:val="24"/>
                    </w:rPr>
                    <w:t>4个</w:t>
                  </w:r>
                  <w:r>
                    <w:rPr>
                      <w:rFonts w:ascii="仿宋" w:hAnsi="仿宋" w:cs="仿宋" w:eastAsia="仿宋"/>
                      <w:sz w:val="24"/>
                    </w:rPr>
                    <w:t>万兆以太网络端口</w:t>
                  </w:r>
                  <w:r>
                    <w:rPr>
                      <w:rFonts w:ascii="仿宋" w:hAnsi="仿宋" w:cs="仿宋" w:eastAsia="仿宋"/>
                      <w:sz w:val="24"/>
                    </w:rPr>
                    <w:t>含光模块；</w:t>
                  </w:r>
                </w:p>
                <w:p>
                  <w:pPr>
                    <w:pStyle w:val="null3"/>
                    <w:jc w:val="both"/>
                  </w:pPr>
                  <w:r>
                    <w:rPr>
                      <w:rFonts w:ascii="仿宋" w:hAnsi="仿宋" w:cs="仿宋" w:eastAsia="仿宋"/>
                      <w:sz w:val="24"/>
                    </w:rPr>
                    <w:t>每个节点配置</w:t>
                  </w:r>
                  <w:r>
                    <w:rPr>
                      <w:rFonts w:ascii="仿宋" w:hAnsi="仿宋" w:cs="仿宋" w:eastAsia="仿宋"/>
                      <w:color w:val="000000"/>
                      <w:sz w:val="22"/>
                    </w:rPr>
                    <w:t>≥</w:t>
                  </w:r>
                  <w:r>
                    <w:rPr>
                      <w:rFonts w:ascii="仿宋" w:hAnsi="仿宋" w:cs="仿宋" w:eastAsia="仿宋"/>
                      <w:sz w:val="24"/>
                    </w:rPr>
                    <w:t>1个1000Mb</w:t>
                  </w:r>
                  <w:r>
                    <w:rPr>
                      <w:rFonts w:ascii="仿宋" w:hAnsi="仿宋" w:cs="仿宋" w:eastAsia="仿宋"/>
                      <w:sz w:val="24"/>
                    </w:rPr>
                    <w:t>千兆</w:t>
                  </w:r>
                  <w:r>
                    <w:rPr>
                      <w:rFonts w:ascii="仿宋" w:hAnsi="仿宋" w:cs="仿宋" w:eastAsia="仿宋"/>
                      <w:sz w:val="24"/>
                    </w:rPr>
                    <w:t>以太网络作为管理使用</w:t>
                  </w:r>
                  <w:r>
                    <w:rPr>
                      <w:rFonts w:ascii="仿宋" w:hAnsi="仿宋" w:cs="仿宋" w:eastAsia="仿宋"/>
                      <w:sz w:val="24"/>
                    </w:rPr>
                    <w:t>；</w:t>
                  </w:r>
                </w:p>
              </w:tc>
            </w:tr>
            <w:tr>
              <w:tc>
                <w:tcPr>
                  <w:tcW w:type="dxa" w:w="276"/>
                  <w:vMerge/>
                  <w:tcBorders>
                    <w:top w:val="outset" w:color="000000" w:sz="4"/>
                    <w:left w:val="single" w:color="000000" w:sz="4"/>
                    <w:bottom w:val="outset" w:color="000000" w:sz="4"/>
                    <w:right w:val="single" w:color="000000" w:sz="4"/>
                  </w:tcBorders>
                </w:tcP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存储组件</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本次每个节点配置</w:t>
                  </w:r>
                  <w:r>
                    <w:rPr>
                      <w:rFonts w:ascii="仿宋" w:hAnsi="仿宋" w:cs="仿宋" w:eastAsia="仿宋"/>
                      <w:color w:val="000000"/>
                      <w:sz w:val="22"/>
                    </w:rPr>
                    <w:t>≥</w:t>
                  </w:r>
                  <w:r>
                    <w:rPr>
                      <w:rFonts w:ascii="仿宋" w:hAnsi="仿宋" w:cs="仿宋" w:eastAsia="仿宋"/>
                      <w:sz w:val="24"/>
                    </w:rPr>
                    <w:t>2块4</w:t>
                  </w:r>
                  <w:r>
                    <w:rPr>
                      <w:rFonts w:ascii="仿宋" w:hAnsi="仿宋" w:cs="仿宋" w:eastAsia="仿宋"/>
                      <w:sz w:val="24"/>
                    </w:rPr>
                    <w:t>80</w:t>
                  </w:r>
                  <w:r>
                    <w:rPr>
                      <w:rFonts w:ascii="仿宋" w:hAnsi="仿宋" w:cs="仿宋" w:eastAsia="仿宋"/>
                      <w:sz w:val="24"/>
                    </w:rPr>
                    <w:t>GB</w:t>
                  </w:r>
                  <w:r>
                    <w:rPr>
                      <w:rFonts w:ascii="calibri" w:hAnsi="calibri" w:cs="calibri" w:eastAsia="calibri"/>
                      <w:sz w:val="24"/>
                    </w:rPr>
                    <w:t xml:space="preserve"> </w:t>
                  </w:r>
                  <w:r>
                    <w:rPr>
                      <w:rFonts w:ascii="仿宋" w:hAnsi="仿宋" w:cs="仿宋" w:eastAsia="仿宋"/>
                      <w:sz w:val="24"/>
                    </w:rPr>
                    <w:t>SSD固态硬盘作为操作系统和虚拟化软件使用；</w:t>
                  </w:r>
                </w:p>
                <w:p>
                  <w:pPr>
                    <w:pStyle w:val="null3"/>
                    <w:jc w:val="both"/>
                  </w:pPr>
                  <w:r>
                    <w:rPr>
                      <w:rFonts w:ascii="仿宋" w:hAnsi="仿宋" w:cs="仿宋" w:eastAsia="仿宋"/>
                      <w:sz w:val="24"/>
                    </w:rPr>
                    <w:t>本次每个节点配置</w:t>
                  </w:r>
                  <w:r>
                    <w:rPr>
                      <w:rFonts w:ascii="仿宋" w:hAnsi="仿宋" w:cs="仿宋" w:eastAsia="仿宋"/>
                      <w:color w:val="000000"/>
                      <w:sz w:val="22"/>
                    </w:rPr>
                    <w:t>≥</w:t>
                  </w:r>
                  <w:r>
                    <w:rPr>
                      <w:rFonts w:ascii="仿宋" w:hAnsi="仿宋" w:cs="仿宋" w:eastAsia="仿宋"/>
                      <w:sz w:val="24"/>
                    </w:rPr>
                    <w:t>2块</w:t>
                  </w:r>
                  <w:r>
                    <w:rPr>
                      <w:rFonts w:ascii="仿宋" w:hAnsi="仿宋" w:cs="仿宋" w:eastAsia="仿宋"/>
                      <w:sz w:val="24"/>
                    </w:rPr>
                    <w:t>1.6</w:t>
                  </w:r>
                  <w:r>
                    <w:rPr>
                      <w:rFonts w:ascii="仿宋" w:hAnsi="仿宋" w:cs="仿宋" w:eastAsia="仿宋"/>
                      <w:sz w:val="24"/>
                    </w:rPr>
                    <w:t>TB高耐久性固态盘作为读写缓存空间；</w:t>
                  </w:r>
                </w:p>
                <w:p>
                  <w:pPr>
                    <w:pStyle w:val="null3"/>
                    <w:jc w:val="both"/>
                  </w:pPr>
                  <w:r>
                    <w:rPr>
                      <w:rFonts w:ascii="仿宋" w:hAnsi="仿宋" w:cs="仿宋" w:eastAsia="仿宋"/>
                      <w:sz w:val="24"/>
                    </w:rPr>
                    <w:t>本次每个节点配置</w:t>
                  </w:r>
                  <w:r>
                    <w:rPr>
                      <w:rFonts w:ascii="仿宋" w:hAnsi="仿宋" w:cs="仿宋" w:eastAsia="仿宋"/>
                      <w:color w:val="000000"/>
                      <w:sz w:val="22"/>
                    </w:rPr>
                    <w:t>≥</w:t>
                  </w:r>
                  <w:r>
                    <w:rPr>
                      <w:rFonts w:ascii="仿宋" w:hAnsi="仿宋" w:cs="仿宋" w:eastAsia="仿宋"/>
                      <w:sz w:val="24"/>
                    </w:rPr>
                    <w:t>1</w:t>
                  </w:r>
                  <w:r>
                    <w:rPr>
                      <w:rFonts w:ascii="仿宋" w:hAnsi="仿宋" w:cs="仿宋" w:eastAsia="仿宋"/>
                      <w:sz w:val="24"/>
                    </w:rPr>
                    <w:t>0</w:t>
                  </w:r>
                  <w:r>
                    <w:rPr>
                      <w:rFonts w:ascii="仿宋" w:hAnsi="仿宋" w:cs="仿宋" w:eastAsia="仿宋"/>
                      <w:b/>
                      <w:sz w:val="24"/>
                    </w:rPr>
                    <w:t>块</w:t>
                  </w:r>
                  <w:r>
                    <w:rPr>
                      <w:rFonts w:ascii="仿宋" w:hAnsi="仿宋" w:cs="仿宋" w:eastAsia="仿宋"/>
                      <w:b/>
                      <w:sz w:val="24"/>
                    </w:rPr>
                    <w:t>8TB</w:t>
                  </w:r>
                  <w:r>
                    <w:rPr>
                      <w:rFonts w:ascii="仿宋" w:hAnsi="仿宋" w:cs="仿宋" w:eastAsia="仿宋"/>
                      <w:sz w:val="24"/>
                    </w:rPr>
                    <w:t>数据盘作为容量存储空间；</w:t>
                  </w:r>
                </w:p>
              </w:tc>
            </w:tr>
            <w:tr>
              <w:tc>
                <w:tcPr>
                  <w:tcW w:type="dxa" w:w="276"/>
                  <w:vMerge w:val="restart"/>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b/>
                      <w:sz w:val="24"/>
                    </w:rPr>
                    <w:t>软件</w:t>
                  </w:r>
                </w:p>
                <w:p>
                  <w:pPr>
                    <w:pStyle w:val="null3"/>
                    <w:jc w:val="both"/>
                  </w:pPr>
                  <w:r>
                    <w:rPr>
                      <w:rFonts w:ascii="仿宋" w:hAnsi="仿宋" w:cs="仿宋" w:eastAsia="仿宋"/>
                      <w:b/>
                      <w:sz w:val="24"/>
                    </w:rPr>
                    <w:t>要求</w:t>
                  </w: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服务器</w:t>
                  </w:r>
                  <w:r>
                    <w:rPr>
                      <w:rFonts w:ascii="仿宋" w:hAnsi="仿宋" w:cs="仿宋" w:eastAsia="仿宋"/>
                      <w:sz w:val="24"/>
                    </w:rPr>
                    <w:t>虚拟化</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本次配置每节点</w:t>
                  </w:r>
                  <w:r>
                    <w:rPr>
                      <w:rFonts w:ascii="仿宋" w:hAnsi="仿宋" w:cs="仿宋" w:eastAsia="仿宋"/>
                      <w:color w:val="000000"/>
                      <w:sz w:val="22"/>
                    </w:rPr>
                    <w:t>≥</w:t>
                  </w:r>
                  <w:r>
                    <w:rPr>
                      <w:rFonts w:ascii="仿宋" w:hAnsi="仿宋" w:cs="仿宋" w:eastAsia="仿宋"/>
                      <w:sz w:val="24"/>
                    </w:rPr>
                    <w:t>2颗CPU服务器</w:t>
                  </w:r>
                  <w:r>
                    <w:rPr>
                      <w:rFonts w:ascii="仿宋" w:hAnsi="仿宋" w:cs="仿宋" w:eastAsia="仿宋"/>
                      <w:sz w:val="24"/>
                    </w:rPr>
                    <w:t>虚拟化软件</w:t>
                  </w:r>
                  <w:r>
                    <w:rPr>
                      <w:rFonts w:ascii="仿宋" w:hAnsi="仿宋" w:cs="仿宋" w:eastAsia="仿宋"/>
                      <w:sz w:val="24"/>
                    </w:rPr>
                    <w:t>,虚拟化平台具备虚拟机容错机制，使应用在服务器发生故障的情况下也能够持续可用。</w:t>
                  </w:r>
                  <w:r>
                    <w:rPr>
                      <w:rFonts w:ascii="仿宋" w:hAnsi="仿宋" w:cs="仿宋" w:eastAsia="仿宋"/>
                      <w:sz w:val="24"/>
                    </w:rPr>
                    <w:t>本次配置并激活虚拟化环境管理软件</w:t>
                  </w:r>
                  <w:r>
                    <w:rPr>
                      <w:rFonts w:ascii="仿宋" w:hAnsi="仿宋" w:cs="仿宋" w:eastAsia="仿宋"/>
                      <w:sz w:val="24"/>
                    </w:rPr>
                    <w:t>一套；</w:t>
                  </w:r>
                </w:p>
              </w:tc>
            </w:tr>
            <w:tr>
              <w:tc>
                <w:tcPr>
                  <w:tcW w:type="dxa" w:w="276"/>
                  <w:vMerge/>
                  <w:tcBorders>
                    <w:top w:val="outset" w:color="000000" w:sz="4"/>
                    <w:left w:val="single" w:color="000000" w:sz="4"/>
                    <w:bottom w:val="outset" w:color="000000" w:sz="4"/>
                    <w:right w:val="single" w:color="000000" w:sz="4"/>
                  </w:tcBorders>
                </w:tcP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存储虚拟化</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本次配置</w:t>
                  </w:r>
                  <w:r>
                    <w:rPr>
                      <w:rFonts w:ascii="仿宋" w:hAnsi="仿宋" w:cs="仿宋" w:eastAsia="仿宋"/>
                      <w:sz w:val="24"/>
                    </w:rPr>
                    <w:t>每节点</w:t>
                  </w:r>
                  <w:r>
                    <w:rPr>
                      <w:rFonts w:ascii="仿宋" w:hAnsi="仿宋" w:cs="仿宋" w:eastAsia="仿宋"/>
                      <w:color w:val="000000"/>
                      <w:sz w:val="22"/>
                    </w:rPr>
                    <w:t>≥</w:t>
                  </w:r>
                  <w:r>
                    <w:rPr>
                      <w:rFonts w:ascii="仿宋" w:hAnsi="仿宋" w:cs="仿宋" w:eastAsia="仿宋"/>
                      <w:sz w:val="24"/>
                    </w:rPr>
                    <w:t>2颗CPU分布式存储虚拟化</w:t>
                  </w:r>
                  <w:r>
                    <w:rPr>
                      <w:rFonts w:ascii="仿宋" w:hAnsi="仿宋" w:cs="仿宋" w:eastAsia="仿宋"/>
                      <w:sz w:val="24"/>
                    </w:rPr>
                    <w:t>软件</w:t>
                  </w:r>
                  <w:r>
                    <w:rPr>
                      <w:rFonts w:ascii="仿宋" w:hAnsi="仿宋" w:cs="仿宋" w:eastAsia="仿宋"/>
                      <w:sz w:val="24"/>
                    </w:rPr>
                    <w:t>；</w:t>
                  </w:r>
                </w:p>
              </w:tc>
            </w:tr>
            <w:tr>
              <w:tc>
                <w:tcPr>
                  <w:tcW w:type="dxa" w:w="276"/>
                  <w:vMerge/>
                  <w:tcBorders>
                    <w:top w:val="outset" w:color="000000" w:sz="4"/>
                    <w:left w:val="single" w:color="000000" w:sz="4"/>
                    <w:bottom w:val="outset" w:color="000000" w:sz="4"/>
                    <w:right w:val="single" w:color="000000" w:sz="4"/>
                  </w:tcBorders>
                </w:tcP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软件</w:t>
                  </w:r>
                  <w:r>
                    <w:rPr>
                      <w:rFonts w:ascii="仿宋" w:hAnsi="仿宋" w:cs="仿宋" w:eastAsia="仿宋"/>
                      <w:sz w:val="24"/>
                    </w:rPr>
                    <w:t>定义网络</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配置软件</w:t>
                  </w:r>
                  <w:r>
                    <w:rPr>
                      <w:rFonts w:ascii="仿宋" w:hAnsi="仿宋" w:cs="仿宋" w:eastAsia="仿宋"/>
                      <w:sz w:val="24"/>
                    </w:rPr>
                    <w:t>分布式交换机功能</w:t>
                  </w:r>
                  <w:r>
                    <w:rPr>
                      <w:rFonts w:ascii="仿宋" w:hAnsi="仿宋" w:cs="仿宋" w:eastAsia="仿宋"/>
                      <w:sz w:val="24"/>
                    </w:rPr>
                    <w:t>；</w:t>
                  </w:r>
                </w:p>
              </w:tc>
            </w:tr>
            <w:tr>
              <w:tc>
                <w:tcPr>
                  <w:tcW w:type="dxa" w:w="276"/>
                  <w:vMerge w:val="restart"/>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b/>
                      <w:sz w:val="24"/>
                    </w:rPr>
                    <w:t>集群</w:t>
                  </w:r>
                </w:p>
                <w:p>
                  <w:pPr>
                    <w:pStyle w:val="null3"/>
                    <w:jc w:val="both"/>
                  </w:pPr>
                  <w:r>
                    <w:rPr>
                      <w:rFonts w:ascii="仿宋" w:hAnsi="仿宋" w:cs="仿宋" w:eastAsia="仿宋"/>
                      <w:b/>
                      <w:sz w:val="24"/>
                    </w:rPr>
                    <w:t>管理</w:t>
                  </w: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系统管理</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采用单一界面实现统一的超融合平台管理，超融合平台的管理和虚拟机的管理不能够采用分离的管理界面，支持</w:t>
                  </w:r>
                  <w:r>
                    <w:rPr>
                      <w:rFonts w:ascii="仿宋" w:hAnsi="仿宋" w:cs="仿宋" w:eastAsia="仿宋"/>
                      <w:sz w:val="24"/>
                    </w:rPr>
                    <w:t>Web界面方式进行管理，可在同一界面管理计算和存储资源。</w:t>
                  </w:r>
                  <w:r>
                    <w:rPr>
                      <w:rFonts w:ascii="calibri" w:hAnsi="calibri" w:cs="calibri" w:eastAsia="calibri"/>
                      <w:sz w:val="24"/>
                    </w:rPr>
                    <w:t xml:space="preserve"> </w:t>
                  </w:r>
                </w:p>
              </w:tc>
            </w:tr>
            <w:tr>
              <w:tc>
                <w:tcPr>
                  <w:tcW w:type="dxa" w:w="276"/>
                  <w:vMerge/>
                  <w:tcBorders>
                    <w:top w:val="outset" w:color="000000" w:sz="4"/>
                    <w:left w:val="single" w:color="000000" w:sz="4"/>
                    <w:bottom w:val="outset" w:color="000000" w:sz="4"/>
                    <w:right w:val="single" w:color="000000" w:sz="4"/>
                  </w:tcBorders>
                </w:tcP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大数据分析与人工智能功能</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针对互联互通评级中要求具备大数据分析与</w:t>
                  </w:r>
                  <w:r>
                    <w:rPr>
                      <w:rFonts w:ascii="仿宋" w:hAnsi="仿宋" w:cs="仿宋" w:eastAsia="仿宋"/>
                      <w:sz w:val="24"/>
                    </w:rPr>
                    <w:t>AI功能，可以实现对现有超融合一体机系统的性能与容量的预测分析，了解当前系统的使用状况和未来的整体发展趋势，可以为整体系统的健康状况做出评估并打分；</w:t>
                  </w:r>
                </w:p>
              </w:tc>
            </w:tr>
            <w:tr>
              <w:tc>
                <w:tcPr>
                  <w:tcW w:type="dxa" w:w="276"/>
                  <w:vMerge w:val="restart"/>
                  <w:tcBorders>
                    <w:top w:val="outset"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b/>
                      <w:sz w:val="24"/>
                    </w:rPr>
                    <w:t>集群</w:t>
                  </w:r>
                </w:p>
                <w:p>
                  <w:pPr>
                    <w:pStyle w:val="null3"/>
                    <w:jc w:val="both"/>
                  </w:pPr>
                  <w:r>
                    <w:rPr>
                      <w:rFonts w:ascii="仿宋" w:hAnsi="仿宋" w:cs="仿宋" w:eastAsia="仿宋"/>
                      <w:b/>
                      <w:sz w:val="24"/>
                    </w:rPr>
                    <w:t>保护</w:t>
                  </w: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OracleRAC支持</w:t>
                  </w:r>
                </w:p>
              </w:tc>
              <w:tc>
                <w:tcPr>
                  <w:tcW w:type="dxa" w:w="1889"/>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超融合平台软件支</w:t>
                  </w:r>
                  <w:r>
                    <w:rPr>
                      <w:rFonts w:ascii="仿宋" w:hAnsi="仿宋" w:cs="仿宋" w:eastAsia="仿宋"/>
                      <w:sz w:val="24"/>
                    </w:rPr>
                    <w:t>持</w:t>
                  </w:r>
                  <w:r>
                    <w:rPr>
                      <w:rFonts w:ascii="仿宋" w:hAnsi="仿宋" w:cs="仿宋" w:eastAsia="仿宋"/>
                      <w:sz w:val="24"/>
                    </w:rPr>
                    <w:t>OracleRAC</w:t>
                  </w:r>
                  <w:r>
                    <w:rPr>
                      <w:rFonts w:ascii="仿宋" w:hAnsi="仿宋" w:cs="仿宋" w:eastAsia="仿宋"/>
                      <w:sz w:val="24"/>
                    </w:rPr>
                    <w:t>；</w:t>
                  </w:r>
                </w:p>
              </w:tc>
            </w:tr>
            <w:tr>
              <w:tc>
                <w:tcPr>
                  <w:tcW w:type="dxa" w:w="276"/>
                  <w:vMerge/>
                  <w:tcBorders>
                    <w:top w:val="outset" w:color="000000" w:sz="4"/>
                    <w:left w:val="single" w:color="000000" w:sz="4"/>
                    <w:bottom w:val="outset" w:color="000000" w:sz="4"/>
                    <w:right w:val="single" w:color="000000" w:sz="4"/>
                  </w:tcBorders>
                </w:tcP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冗余电源</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配置</w:t>
                  </w:r>
                  <w:r>
                    <w:rPr>
                      <w:rFonts w:ascii="仿宋" w:hAnsi="仿宋" w:cs="仿宋" w:eastAsia="仿宋"/>
                      <w:color w:val="000000"/>
                      <w:sz w:val="22"/>
                    </w:rPr>
                    <w:t>≥</w:t>
                  </w:r>
                  <w:r>
                    <w:rPr>
                      <w:rFonts w:ascii="仿宋" w:hAnsi="仿宋" w:cs="仿宋" w:eastAsia="仿宋"/>
                      <w:sz w:val="24"/>
                    </w:rPr>
                    <w:t>2个热插拔冗余电源；</w:t>
                  </w:r>
                </w:p>
              </w:tc>
            </w:tr>
            <w:tr>
              <w:tc>
                <w:tcPr>
                  <w:tcW w:type="dxa" w:w="276"/>
                  <w:vMerge/>
                  <w:tcBorders>
                    <w:top w:val="outset" w:color="000000" w:sz="4"/>
                    <w:left w:val="single" w:color="000000" w:sz="4"/>
                    <w:bottom w:val="outset" w:color="000000" w:sz="4"/>
                    <w:right w:val="single" w:color="000000" w:sz="4"/>
                  </w:tcBorders>
                </w:tcPr>
                <w:p/>
              </w:tc>
              <w:tc>
                <w:tcPr>
                  <w:tcW w:type="dxa" w:w="388"/>
                  <w:tcBorders>
                    <w:top w:val="outset"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集群双活</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支持双活功能，</w:t>
                  </w:r>
                  <w:r>
                    <w:rPr>
                      <w:rFonts w:ascii="仿宋" w:hAnsi="仿宋" w:cs="仿宋" w:eastAsia="仿宋"/>
                      <w:sz w:val="24"/>
                    </w:rPr>
                    <w:t>分布式存储集群服务节点可以跨数据中心部署，</w:t>
                  </w:r>
                  <w:r>
                    <w:rPr>
                      <w:rFonts w:ascii="仿宋" w:hAnsi="仿宋" w:cs="仿宋" w:eastAsia="仿宋"/>
                      <w:sz w:val="24"/>
                    </w:rPr>
                    <w:t>能在两个集群之间做到自动的故障切换</w:t>
                  </w:r>
                  <w:r>
                    <w:rPr>
                      <w:rFonts w:ascii="仿宋" w:hAnsi="仿宋" w:cs="仿宋" w:eastAsia="仿宋"/>
                      <w:sz w:val="24"/>
                    </w:rPr>
                    <w:t>，</w:t>
                  </w:r>
                  <w:r>
                    <w:rPr>
                      <w:rFonts w:ascii="仿宋" w:hAnsi="仿宋" w:cs="仿宋" w:eastAsia="仿宋"/>
                      <w:sz w:val="24"/>
                    </w:rPr>
                    <w:t>RPO为0;</w:t>
                  </w:r>
                </w:p>
              </w:tc>
            </w:tr>
            <w:tr>
              <w:tc>
                <w:tcPr>
                  <w:tcW w:type="dxa" w:w="276"/>
                  <w:tcBorders>
                    <w:top w:val="outset"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b/>
                      <w:sz w:val="24"/>
                    </w:rPr>
                    <w:t>服务</w:t>
                  </w:r>
                </w:p>
                <w:p>
                  <w:pPr>
                    <w:pStyle w:val="null3"/>
                    <w:jc w:val="both"/>
                  </w:pPr>
                  <w:r>
                    <w:rPr>
                      <w:rFonts w:ascii="仿宋" w:hAnsi="仿宋" w:cs="仿宋" w:eastAsia="仿宋"/>
                      <w:b/>
                      <w:sz w:val="24"/>
                    </w:rPr>
                    <w:t>要求</w:t>
                  </w:r>
                </w:p>
              </w:tc>
              <w:tc>
                <w:tcPr>
                  <w:tcW w:type="dxa" w:w="388"/>
                  <w:tcBorders>
                    <w:top w:val="outset"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 w:hAnsi="仿宋" w:cs="仿宋" w:eastAsia="仿宋"/>
                      <w:sz w:val="24"/>
                    </w:rPr>
                    <w:t>实施服务</w:t>
                  </w:r>
                </w:p>
              </w:tc>
              <w:tc>
                <w:tcPr>
                  <w:tcW w:type="dxa" w:w="1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 w:hAnsi="仿宋" w:cs="仿宋" w:eastAsia="仿宋"/>
                      <w:sz w:val="24"/>
                    </w:rPr>
                    <w:t>包含超融合平台设计，规划，实施，业务验证以及相关培训等服务；</w:t>
                  </w:r>
                </w:p>
              </w:tc>
            </w:tr>
          </w:tbl>
          <w:p>
            <w:pPr>
              <w:pStyle w:val="null3"/>
              <w:numPr>
                <w:ilvl w:val="2"/>
                <w:numId w:val="1"/>
              </w:numPr>
            </w:pPr>
            <w:r>
              <w:rPr>
                <w:rFonts w:ascii="宋体" w:hAnsi="宋体" w:cs="宋体" w:eastAsia="宋体"/>
                <w:b/>
                <w:sz w:val="24"/>
              </w:rPr>
              <w:t>外网环境改造</w:t>
            </w:r>
          </w:p>
          <w:p>
            <w:pPr>
              <w:pStyle w:val="null3"/>
              <w:ind w:firstLine="480"/>
              <w:jc w:val="both"/>
            </w:pPr>
            <w:r>
              <w:rPr>
                <w:rFonts w:ascii="仿宋" w:hAnsi="仿宋" w:cs="仿宋" w:eastAsia="仿宋"/>
                <w:sz w:val="24"/>
              </w:rPr>
              <w:t>目前医院外网核心已使用</w:t>
            </w:r>
            <w:r>
              <w:rPr>
                <w:rFonts w:ascii="仿宋" w:hAnsi="仿宋" w:cs="仿宋" w:eastAsia="仿宋"/>
                <w:sz w:val="24"/>
              </w:rPr>
              <w:t>11年之久，已无法满足日益增长的业务需求，而且目前现网核心仅有1台，老化的核心设备随时可能出现故障，当外网核心宕机时，全院外网及互联网业务将整体瘫痪，故医院迫切需要对外网问题进行解决。</w:t>
            </w:r>
          </w:p>
          <w:p>
            <w:pPr>
              <w:pStyle w:val="null3"/>
              <w:ind w:firstLine="480"/>
              <w:jc w:val="both"/>
            </w:pPr>
            <w:r>
              <w:rPr>
                <w:rFonts w:ascii="仿宋" w:hAnsi="仿宋" w:cs="仿宋" w:eastAsia="仿宋"/>
                <w:sz w:val="24"/>
              </w:rPr>
              <w:t>本次项目建设外网核心交换机技术要求如下：</w:t>
            </w:r>
          </w:p>
          <w:tbl>
            <w:tblPr>
              <w:tblBorders>
                <w:top w:val="none" w:color="000000" w:sz="4"/>
                <w:left w:val="none" w:color="000000" w:sz="4"/>
                <w:bottom w:val="none" w:color="000000" w:sz="4"/>
                <w:right w:val="none" w:color="000000" w:sz="4"/>
                <w:insideH w:val="none"/>
                <w:insideV w:val="none"/>
              </w:tblBorders>
            </w:tblPr>
            <w:tblGrid>
              <w:gridCol w:w="219"/>
              <w:gridCol w:w="328"/>
              <w:gridCol w:w="200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2"/>
                    </w:rPr>
                    <w:t>序号</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2"/>
                    </w:rPr>
                    <w:t>项目</w:t>
                  </w:r>
                </w:p>
              </w:tc>
              <w:tc>
                <w:tcPr>
                  <w:tcW w:type="dxa" w:w="2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仿宋" w:hAnsi="仿宋" w:cs="仿宋" w:eastAsia="仿宋"/>
                      <w:b/>
                      <w:color w:val="000000"/>
                      <w:sz w:val="22"/>
                    </w:rPr>
                    <w:t>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1</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color w:val="000000"/>
                      <w:sz w:val="22"/>
                    </w:rPr>
                    <w:t>设备性能</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1"/>
                    </w:rPr>
                    <w:t>▲</w:t>
                  </w:r>
                  <w:r>
                    <w:rPr>
                      <w:rFonts w:ascii="仿宋" w:hAnsi="仿宋" w:cs="仿宋" w:eastAsia="仿宋"/>
                      <w:color w:val="000000"/>
                      <w:sz w:val="22"/>
                    </w:rPr>
                    <w:t>包转发率</w:t>
                  </w:r>
                  <w:r>
                    <w:rPr>
                      <w:rFonts w:ascii="仿宋" w:hAnsi="仿宋" w:cs="仿宋" w:eastAsia="仿宋"/>
                      <w:color w:val="000000"/>
                      <w:sz w:val="22"/>
                    </w:rPr>
                    <w:t>≥</w:t>
                  </w:r>
                  <w:r>
                    <w:rPr>
                      <w:rFonts w:ascii="仿宋" w:hAnsi="仿宋" w:cs="仿宋" w:eastAsia="仿宋"/>
                      <w:color w:val="000000"/>
                      <w:sz w:val="22"/>
                    </w:rPr>
                    <w:t>4</w:t>
                  </w:r>
                  <w:r>
                    <w:rPr>
                      <w:rFonts w:ascii="仿宋" w:hAnsi="仿宋" w:cs="仿宋" w:eastAsia="仿宋"/>
                      <w:color w:val="000000"/>
                      <w:sz w:val="22"/>
                    </w:rPr>
                    <w:t>00Mpps ，交换容量≥</w:t>
                  </w:r>
                  <w:r>
                    <w:rPr>
                      <w:rFonts w:ascii="仿宋" w:hAnsi="仿宋" w:cs="仿宋" w:eastAsia="仿宋"/>
                      <w:color w:val="000000"/>
                      <w:sz w:val="22"/>
                    </w:rPr>
                    <w:t>1</w:t>
                  </w:r>
                  <w:r>
                    <w:rPr>
                      <w:rFonts w:ascii="仿宋" w:hAnsi="仿宋" w:cs="仿宋" w:eastAsia="仿宋"/>
                      <w:color w:val="000000"/>
                      <w:sz w:val="22"/>
                    </w:rPr>
                    <w:t>Tbps</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2</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硬件描述</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配置千兆以太网电口</w:t>
                  </w:r>
                  <w:r>
                    <w:rPr>
                      <w:rFonts w:ascii="仿宋" w:hAnsi="仿宋" w:cs="仿宋" w:eastAsia="仿宋"/>
                      <w:color w:val="000000"/>
                      <w:sz w:val="22"/>
                    </w:rPr>
                    <w:t>≥</w:t>
                  </w:r>
                  <w:r>
                    <w:rPr>
                      <w:rFonts w:ascii="仿宋" w:hAnsi="仿宋" w:cs="仿宋" w:eastAsia="仿宋"/>
                      <w:color w:val="000000"/>
                      <w:sz w:val="22"/>
                    </w:rPr>
                    <w:t>48</w:t>
                  </w:r>
                  <w:r>
                    <w:rPr>
                      <w:rFonts w:ascii="仿宋" w:hAnsi="仿宋" w:cs="仿宋" w:eastAsia="仿宋"/>
                      <w:color w:val="000000"/>
                      <w:sz w:val="22"/>
                    </w:rPr>
                    <w:t>个，万兆以太网光口</w:t>
                  </w:r>
                  <w:r>
                    <w:rPr>
                      <w:rFonts w:ascii="仿宋" w:hAnsi="仿宋" w:cs="仿宋" w:eastAsia="仿宋"/>
                      <w:color w:val="000000"/>
                      <w:sz w:val="22"/>
                    </w:rPr>
                    <w:t>≥</w:t>
                  </w:r>
                  <w:r>
                    <w:rPr>
                      <w:rFonts w:ascii="仿宋" w:hAnsi="仿宋" w:cs="仿宋" w:eastAsia="仿宋"/>
                      <w:color w:val="000000"/>
                      <w:sz w:val="22"/>
                    </w:rPr>
                    <w:t>12</w:t>
                  </w:r>
                  <w:r>
                    <w:rPr>
                      <w:rFonts w:ascii="仿宋" w:hAnsi="仿宋" w:cs="仿宋" w:eastAsia="仿宋"/>
                      <w:color w:val="000000"/>
                      <w:sz w:val="22"/>
                    </w:rPr>
                    <w:t>，双电源；</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3</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IP路由</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支持静态路由、</w:t>
                  </w:r>
                  <w:r>
                    <w:rPr>
                      <w:rFonts w:ascii="仿宋" w:hAnsi="仿宋" w:cs="仿宋" w:eastAsia="仿宋"/>
                      <w:color w:val="000000"/>
                      <w:sz w:val="22"/>
                    </w:rPr>
                    <w:t>RIP、RIPng、OSPF、OSPFv3、BGP、BGP4+、ISIS、ISISv6</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4</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虚拟化堆叠</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支持虚拟化堆叠技术，可以将多台交换机组合在一起，从逻辑上组合成一台虚拟交换机。</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5</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2"/>
                    </w:rPr>
                    <w:t>配置</w:t>
                  </w:r>
                </w:p>
              </w:tc>
              <w:tc>
                <w:tcPr>
                  <w:tcW w:type="dxa" w:w="2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color w:val="000000"/>
                      <w:sz w:val="22"/>
                    </w:rPr>
                    <w:t>配置堆叠线缆</w:t>
                  </w:r>
                  <w:r>
                    <w:rPr>
                      <w:rFonts w:ascii="仿宋" w:hAnsi="仿宋" w:cs="仿宋" w:eastAsia="仿宋"/>
                      <w:color w:val="000000"/>
                      <w:sz w:val="22"/>
                    </w:rPr>
                    <w:t>≥1条，≥</w:t>
                  </w:r>
                  <w:r>
                    <w:rPr>
                      <w:rFonts w:ascii="仿宋" w:hAnsi="仿宋" w:cs="仿宋" w:eastAsia="仿宋"/>
                      <w:color w:val="000000"/>
                      <w:sz w:val="22"/>
                    </w:rPr>
                    <w:t>7</w:t>
                  </w:r>
                  <w:r>
                    <w:rPr>
                      <w:rFonts w:ascii="仿宋" w:hAnsi="仿宋" w:cs="仿宋" w:eastAsia="仿宋"/>
                      <w:color w:val="000000"/>
                      <w:sz w:val="22"/>
                    </w:rPr>
                    <w:t>个千兆单模光模块。</w:t>
                  </w:r>
                </w:p>
              </w:tc>
            </w:tr>
          </w:tbl>
          <w:p>
            <w:pPr>
              <w:pStyle w:val="null3"/>
              <w:numPr>
                <w:ilvl w:val="2"/>
                <w:numId w:val="1"/>
              </w:numPr>
              <w:spacing w:after="120"/>
              <w:ind w:firstLine="480"/>
              <w:jc w:val="both"/>
            </w:pPr>
            <w:r>
              <w:rPr>
                <w:rFonts w:ascii="cambria" w:hAnsi="cambria" w:cs="cambria" w:eastAsia="cambria"/>
                <w:b/>
                <w:sz w:val="24"/>
              </w:rPr>
              <w:t>U</w:t>
            </w:r>
            <w:r>
              <w:rPr>
                <w:rFonts w:ascii="cambria" w:hAnsi="cambria" w:cs="cambria" w:eastAsia="cambria"/>
                <w:b/>
                <w:sz w:val="24"/>
              </w:rPr>
              <w:t>PS</w:t>
            </w:r>
            <w:r>
              <w:rPr>
                <w:rFonts w:ascii="宋体" w:hAnsi="宋体" w:cs="宋体" w:eastAsia="宋体"/>
                <w:b/>
                <w:sz w:val="24"/>
              </w:rPr>
              <w:t>电源主机</w:t>
            </w:r>
          </w:p>
          <w:p>
            <w:pPr>
              <w:pStyle w:val="null3"/>
              <w:ind w:firstLine="480"/>
              <w:jc w:val="both"/>
            </w:pPr>
            <w:r>
              <w:rPr>
                <w:rFonts w:ascii="仿宋" w:hAnsi="仿宋" w:cs="仿宋" w:eastAsia="仿宋"/>
                <w:sz w:val="24"/>
              </w:rPr>
              <w:t>医院现有的</w:t>
            </w:r>
            <w:r>
              <w:rPr>
                <w:rFonts w:ascii="仿宋" w:hAnsi="仿宋" w:cs="仿宋" w:eastAsia="仿宋"/>
                <w:sz w:val="24"/>
              </w:rPr>
              <w:t>U</w:t>
            </w:r>
            <w:r>
              <w:rPr>
                <w:rFonts w:ascii="仿宋" w:hAnsi="仿宋" w:cs="仿宋" w:eastAsia="仿宋"/>
                <w:sz w:val="24"/>
              </w:rPr>
              <w:t>PS</w:t>
            </w:r>
            <w:r>
              <w:rPr>
                <w:rFonts w:ascii="仿宋" w:hAnsi="仿宋" w:cs="仿宋" w:eastAsia="仿宋"/>
                <w:sz w:val="24"/>
              </w:rPr>
              <w:t>电源主机运行已经超出设备使用的年限，设备稳定性及可靠性均不能满足医院的业务开展要求，现需要对该</w:t>
            </w:r>
            <w:r>
              <w:rPr>
                <w:rFonts w:ascii="仿宋" w:hAnsi="仿宋" w:cs="仿宋" w:eastAsia="仿宋"/>
                <w:sz w:val="24"/>
              </w:rPr>
              <w:t>U</w:t>
            </w:r>
            <w:r>
              <w:rPr>
                <w:rFonts w:ascii="仿宋" w:hAnsi="仿宋" w:cs="仿宋" w:eastAsia="仿宋"/>
                <w:sz w:val="24"/>
              </w:rPr>
              <w:t>PS</w:t>
            </w:r>
            <w:r>
              <w:rPr>
                <w:rFonts w:ascii="仿宋" w:hAnsi="仿宋" w:cs="仿宋" w:eastAsia="仿宋"/>
                <w:sz w:val="24"/>
              </w:rPr>
              <w:t>电源主机进行更换。</w:t>
            </w:r>
          </w:p>
          <w:p>
            <w:pPr>
              <w:pStyle w:val="null3"/>
              <w:ind w:firstLine="480"/>
              <w:jc w:val="both"/>
            </w:pPr>
            <w:r>
              <w:rPr>
                <w:rFonts w:ascii="仿宋" w:hAnsi="仿宋" w:cs="仿宋" w:eastAsia="仿宋"/>
                <w:sz w:val="24"/>
              </w:rPr>
              <w:t>更换的</w:t>
            </w:r>
            <w:r>
              <w:rPr>
                <w:rFonts w:ascii="仿宋" w:hAnsi="仿宋" w:cs="仿宋" w:eastAsia="仿宋"/>
                <w:sz w:val="24"/>
              </w:rPr>
              <w:t>U</w:t>
            </w:r>
            <w:r>
              <w:rPr>
                <w:rFonts w:ascii="仿宋" w:hAnsi="仿宋" w:cs="仿宋" w:eastAsia="仿宋"/>
                <w:sz w:val="24"/>
              </w:rPr>
              <w:t>PS</w:t>
            </w:r>
            <w:r>
              <w:rPr>
                <w:rFonts w:ascii="仿宋" w:hAnsi="仿宋" w:cs="仿宋" w:eastAsia="仿宋"/>
                <w:sz w:val="24"/>
              </w:rPr>
              <w:t>电源主机技术要求如下：</w:t>
            </w:r>
          </w:p>
          <w:tbl>
            <w:tblPr>
              <w:tblBorders>
                <w:top w:val="none" w:color="000000" w:sz="4"/>
                <w:left w:val="none" w:color="000000" w:sz="4"/>
                <w:bottom w:val="none" w:color="000000" w:sz="4"/>
                <w:right w:val="none" w:color="000000" w:sz="4"/>
                <w:insideH w:val="none"/>
                <w:insideV w:val="none"/>
              </w:tblBorders>
            </w:tblPr>
            <w:tblGrid>
              <w:gridCol w:w="210"/>
              <w:gridCol w:w="381"/>
              <w:gridCol w:w="1961"/>
            </w:tblGrid>
            <w:tr>
              <w:tc>
                <w:tcPr>
                  <w:tcW w:type="dxa" w:w="210"/>
                  <w:tcBorders>
                    <w:top w:val="single" w:color="000000" w:sz="4"/>
                    <w:left w:val="single" w:color="000000" w:sz="4"/>
                    <w:bottom w:val="single" w:color="000000" w:sz="4"/>
                    <w:right w:val="single" w:color="000000" w:sz="4"/>
                  </w:tcBorders>
                  <w:shd w:fill="4F81BD"/>
                  <w:tcMar>
                    <w:top w:type="dxa" w:w="0"/>
                    <w:left w:type="dxa" w:w="0"/>
                    <w:bottom w:type="dxa" w:w="0"/>
                    <w:right w:type="dxa" w:w="0"/>
                  </w:tcMar>
                  <w:vAlign w:val="top"/>
                </w:tcPr>
                <w:p>
                  <w:pPr>
                    <w:pStyle w:val="null3"/>
                    <w:jc w:val="both"/>
                  </w:pPr>
                  <w:r>
                    <w:rPr>
                      <w:rFonts w:ascii="仿宋" w:hAnsi="仿宋" w:cs="仿宋" w:eastAsia="仿宋"/>
                      <w:b/>
                      <w:sz w:val="24"/>
                    </w:rPr>
                    <w:t>序号</w:t>
                  </w:r>
                </w:p>
              </w:tc>
              <w:tc>
                <w:tcPr>
                  <w:tcW w:type="dxa" w:w="381"/>
                  <w:tcBorders>
                    <w:top w:val="singl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ind w:firstLine="198"/>
                    <w:jc w:val="both"/>
                  </w:pPr>
                  <w:r>
                    <w:rPr>
                      <w:rFonts w:ascii="仿宋" w:hAnsi="仿宋" w:cs="仿宋" w:eastAsia="仿宋"/>
                      <w:b/>
                      <w:sz w:val="24"/>
                    </w:rPr>
                    <w:t>项目</w:t>
                  </w:r>
                </w:p>
              </w:tc>
              <w:tc>
                <w:tcPr>
                  <w:tcW w:type="dxa" w:w="1961"/>
                  <w:tcBorders>
                    <w:top w:val="singl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ind w:firstLine="482"/>
                    <w:jc w:val="center"/>
                  </w:pPr>
                  <w:r>
                    <w:rPr>
                      <w:rFonts w:ascii="仿宋" w:hAnsi="仿宋" w:cs="仿宋" w:eastAsia="仿宋"/>
                      <w:b/>
                      <w:sz w:val="24"/>
                    </w:rPr>
                    <w:t>具体功能要求</w:t>
                  </w:r>
                </w:p>
              </w:tc>
            </w:tr>
            <w:tr>
              <w:tc>
                <w:tcPr>
                  <w:tcW w:type="dxa" w:w="210"/>
                  <w:tcBorders>
                    <w:top w:val="none" w:color="000000" w:sz="4"/>
                    <w:left w:val="single" w:color="000000" w:sz="4"/>
                    <w:bottom w:val="single" w:color="000000" w:sz="4"/>
                    <w:right w:val="single" w:color="000000" w:sz="4"/>
                  </w:tcBorders>
                  <w:shd w:fill="CED7E7"/>
                  <w:tcMar>
                    <w:top w:type="dxa" w:w="0"/>
                    <w:left w:type="dxa" w:w="0"/>
                    <w:bottom w:type="dxa" w:w="0"/>
                    <w:right w:type="dxa" w:w="0"/>
                  </w:tcMar>
                  <w:vAlign w:val="top"/>
                </w:tcPr>
                <w:p>
                  <w:pPr>
                    <w:pStyle w:val="null3"/>
                    <w:jc w:val="center"/>
                  </w:pPr>
                  <w:r>
                    <w:rPr>
                      <w:rFonts w:ascii="仿宋" w:hAnsi="仿宋" w:cs="仿宋" w:eastAsia="仿宋"/>
                      <w:sz w:val="24"/>
                    </w:rPr>
                    <w:t>1</w:t>
                  </w:r>
                </w:p>
              </w:tc>
              <w:tc>
                <w:tcPr>
                  <w:tcW w:type="dxa" w:w="38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UPS类型</w:t>
                  </w:r>
                </w:p>
              </w:tc>
              <w:tc>
                <w:tcPr>
                  <w:tcW w:type="dxa" w:w="1961"/>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在线式双变换式</w:t>
                  </w:r>
                  <w:r>
                    <w:rPr>
                      <w:rFonts w:ascii="仿宋" w:hAnsi="仿宋" w:cs="仿宋" w:eastAsia="仿宋"/>
                      <w:sz w:val="24"/>
                    </w:rPr>
                    <w:t>（含显示面板）</w:t>
                  </w:r>
                </w:p>
              </w:tc>
            </w:tr>
            <w:tr>
              <w:tc>
                <w:tcPr>
                  <w:tcW w:type="dxa" w:w="210"/>
                  <w:tcBorders>
                    <w:top w:val="none" w:color="000000" w:sz="4"/>
                    <w:left w:val="single" w:color="000000" w:sz="4"/>
                    <w:bottom w:val="single" w:color="000000" w:sz="4"/>
                    <w:right w:val="single" w:color="000000" w:sz="4"/>
                  </w:tcBorders>
                  <w:shd w:fill="CED7E7"/>
                  <w:tcMar>
                    <w:top w:type="dxa" w:w="0"/>
                    <w:left w:type="dxa" w:w="0"/>
                    <w:bottom w:type="dxa" w:w="0"/>
                    <w:right w:type="dxa" w:w="0"/>
                  </w:tcMar>
                  <w:vAlign w:val="top"/>
                </w:tcPr>
                <w:p>
                  <w:pPr>
                    <w:pStyle w:val="null3"/>
                    <w:jc w:val="center"/>
                  </w:pPr>
                  <w:r>
                    <w:rPr>
                      <w:rFonts w:ascii="仿宋" w:hAnsi="仿宋" w:cs="仿宋" w:eastAsia="仿宋"/>
                      <w:sz w:val="24"/>
                    </w:rPr>
                    <w:t>2</w:t>
                  </w:r>
                </w:p>
              </w:tc>
              <w:tc>
                <w:tcPr>
                  <w:tcW w:type="dxa" w:w="38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电源容量</w:t>
                  </w:r>
                </w:p>
              </w:tc>
              <w:tc>
                <w:tcPr>
                  <w:tcW w:type="dxa" w:w="1961"/>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color w:val="000000"/>
                      <w:sz w:val="22"/>
                    </w:rPr>
                    <w:t>≥</w:t>
                  </w:r>
                  <w:r>
                    <w:rPr>
                      <w:rFonts w:ascii="仿宋" w:hAnsi="仿宋" w:cs="仿宋" w:eastAsia="仿宋"/>
                      <w:sz w:val="24"/>
                    </w:rPr>
                    <w:t>120kVA</w:t>
                  </w:r>
                </w:p>
              </w:tc>
            </w:tr>
            <w:tr>
              <w:tc>
                <w:tcPr>
                  <w:tcW w:type="dxa" w:w="210"/>
                  <w:tcBorders>
                    <w:top w:val="none" w:color="000000" w:sz="4"/>
                    <w:left w:val="single" w:color="000000" w:sz="4"/>
                    <w:bottom w:val="single" w:color="000000" w:sz="4"/>
                    <w:right w:val="single" w:color="000000" w:sz="4"/>
                  </w:tcBorders>
                  <w:shd w:fill="CED7E7"/>
                  <w:tcMar>
                    <w:top w:type="dxa" w:w="0"/>
                    <w:left w:type="dxa" w:w="0"/>
                    <w:bottom w:type="dxa" w:w="0"/>
                    <w:right w:type="dxa" w:w="0"/>
                  </w:tcMar>
                  <w:vAlign w:val="top"/>
                </w:tcPr>
                <w:p>
                  <w:pPr>
                    <w:pStyle w:val="null3"/>
                    <w:jc w:val="center"/>
                  </w:pPr>
                  <w:r>
                    <w:rPr>
                      <w:rFonts w:ascii="仿宋" w:hAnsi="仿宋" w:cs="仿宋" w:eastAsia="仿宋"/>
                      <w:sz w:val="24"/>
                    </w:rPr>
                    <w:t>3</w:t>
                  </w:r>
                </w:p>
              </w:tc>
              <w:tc>
                <w:tcPr>
                  <w:tcW w:type="dxa" w:w="38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输入频率范围（</w:t>
                  </w:r>
                  <w:r>
                    <w:rPr>
                      <w:rFonts w:ascii="仿宋" w:hAnsi="仿宋" w:cs="仿宋" w:eastAsia="仿宋"/>
                      <w:sz w:val="24"/>
                    </w:rPr>
                    <w:t>Hz）</w:t>
                  </w:r>
                </w:p>
              </w:tc>
              <w:tc>
                <w:tcPr>
                  <w:tcW w:type="dxa" w:w="1961"/>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40Hz-70Hz；</w:t>
                  </w:r>
                </w:p>
              </w:tc>
            </w:tr>
            <w:tr>
              <w:tc>
                <w:tcPr>
                  <w:tcW w:type="dxa" w:w="210"/>
                  <w:tcBorders>
                    <w:top w:val="none" w:color="000000" w:sz="4"/>
                    <w:left w:val="single" w:color="000000" w:sz="4"/>
                    <w:bottom w:val="single" w:color="000000" w:sz="4"/>
                    <w:right w:val="single" w:color="000000" w:sz="4"/>
                  </w:tcBorders>
                  <w:shd w:fill="CED7E7"/>
                  <w:tcMar>
                    <w:top w:type="dxa" w:w="0"/>
                    <w:left w:type="dxa" w:w="0"/>
                    <w:bottom w:type="dxa" w:w="0"/>
                    <w:right w:type="dxa" w:w="0"/>
                  </w:tcMar>
                  <w:vAlign w:val="top"/>
                </w:tcPr>
                <w:p>
                  <w:pPr>
                    <w:pStyle w:val="null3"/>
                    <w:jc w:val="center"/>
                  </w:pPr>
                  <w:r>
                    <w:rPr>
                      <w:rFonts w:ascii="仿宋" w:hAnsi="仿宋" w:cs="仿宋" w:eastAsia="仿宋"/>
                      <w:sz w:val="24"/>
                    </w:rPr>
                    <w:t>4</w:t>
                  </w:r>
                </w:p>
              </w:tc>
              <w:tc>
                <w:tcPr>
                  <w:tcW w:type="dxa" w:w="38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输入功率因数</w:t>
                  </w:r>
                </w:p>
              </w:tc>
              <w:tc>
                <w:tcPr>
                  <w:tcW w:type="dxa" w:w="1961"/>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&gt;0.99满载，输出功率因数为1；</w:t>
                  </w:r>
                </w:p>
              </w:tc>
            </w:tr>
            <w:tr>
              <w:tc>
                <w:tcPr>
                  <w:tcW w:type="dxa" w:w="210"/>
                  <w:tcBorders>
                    <w:top w:val="none" w:color="000000" w:sz="4"/>
                    <w:left w:val="single" w:color="000000" w:sz="4"/>
                    <w:bottom w:val="single" w:color="000000" w:sz="4"/>
                    <w:right w:val="single" w:color="000000" w:sz="4"/>
                  </w:tcBorders>
                  <w:shd w:fill="CED7E7"/>
                  <w:tcMar>
                    <w:top w:type="dxa" w:w="0"/>
                    <w:left w:type="dxa" w:w="0"/>
                    <w:bottom w:type="dxa" w:w="0"/>
                    <w:right w:type="dxa" w:w="0"/>
                  </w:tcMar>
                  <w:vAlign w:val="top"/>
                </w:tcPr>
                <w:p>
                  <w:pPr>
                    <w:pStyle w:val="null3"/>
                    <w:jc w:val="center"/>
                  </w:pPr>
                  <w:r>
                    <w:rPr>
                      <w:rFonts w:ascii="仿宋" w:hAnsi="仿宋" w:cs="仿宋" w:eastAsia="仿宋"/>
                      <w:sz w:val="24"/>
                    </w:rPr>
                    <w:t>5</w:t>
                  </w:r>
                </w:p>
              </w:tc>
              <w:tc>
                <w:tcPr>
                  <w:tcW w:type="dxa" w:w="381"/>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输入电流失真</w:t>
                  </w:r>
                  <w:r>
                    <w:rPr>
                      <w:rFonts w:ascii="仿宋" w:hAnsi="仿宋" w:cs="仿宋" w:eastAsia="仿宋"/>
                      <w:sz w:val="24"/>
                    </w:rPr>
                    <w:t>THDi：</w:t>
                  </w:r>
                </w:p>
              </w:tc>
              <w:tc>
                <w:tcPr>
                  <w:tcW w:type="dxa" w:w="1961"/>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&lt;3%（线性载满载)，&lt;5%（非线性载满载）</w:t>
                  </w:r>
                </w:p>
              </w:tc>
            </w:tr>
            <w:tr>
              <w:tc>
                <w:tcPr>
                  <w:tcW w:type="dxa" w:w="210"/>
                  <w:tcBorders>
                    <w:top w:val="none" w:color="000000" w:sz="4"/>
                    <w:left w:val="single" w:color="000000" w:sz="4"/>
                    <w:bottom w:val="single" w:color="000000" w:sz="4"/>
                    <w:right w:val="single" w:color="000000" w:sz="4"/>
                  </w:tcBorders>
                  <w:shd w:fill="CED7E7"/>
                  <w:tcMar>
                    <w:top w:type="dxa" w:w="0"/>
                    <w:left w:type="dxa" w:w="0"/>
                    <w:bottom w:type="dxa" w:w="0"/>
                    <w:right w:type="dxa" w:w="0"/>
                  </w:tcMar>
                  <w:vAlign w:val="top"/>
                </w:tcPr>
                <w:p>
                  <w:pPr>
                    <w:pStyle w:val="null3"/>
                    <w:jc w:val="center"/>
                  </w:pPr>
                  <w:r>
                    <w:rPr>
                      <w:rFonts w:ascii="仿宋" w:hAnsi="仿宋" w:cs="仿宋" w:eastAsia="仿宋"/>
                      <w:sz w:val="24"/>
                    </w:rPr>
                    <w:t>6</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4"/>
                    </w:rPr>
                    <w:t>市电与旁路</w:t>
                  </w:r>
                </w:p>
              </w:tc>
              <w:tc>
                <w:tcPr>
                  <w:tcW w:type="dxa" w:w="1961"/>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市电与电池电源转换时间：</w:t>
                  </w:r>
                  <w:r>
                    <w:rPr>
                      <w:rFonts w:ascii="仿宋" w:hAnsi="仿宋" w:cs="仿宋" w:eastAsia="仿宋"/>
                      <w:sz w:val="24"/>
                    </w:rPr>
                    <w:t>≤10</w:t>
                  </w:r>
                  <w:r>
                    <w:rPr>
                      <w:rFonts w:ascii="仿宋" w:hAnsi="仿宋" w:cs="仿宋" w:eastAsia="仿宋"/>
                      <w:sz w:val="24"/>
                    </w:rPr>
                    <w:t>ms；</w:t>
                  </w:r>
                </w:p>
              </w:tc>
            </w:tr>
            <w:tr>
              <w:tc>
                <w:tcPr>
                  <w:tcW w:type="dxa" w:w="210"/>
                  <w:tcBorders>
                    <w:top w:val="none" w:color="000000" w:sz="4"/>
                    <w:left w:val="single" w:color="000000" w:sz="4"/>
                    <w:bottom w:val="single" w:color="000000" w:sz="4"/>
                    <w:right w:val="single" w:color="000000" w:sz="4"/>
                  </w:tcBorders>
                  <w:shd w:fill="CED7E7"/>
                  <w:tcMar>
                    <w:top w:type="dxa" w:w="0"/>
                    <w:left w:type="dxa" w:w="0"/>
                    <w:bottom w:type="dxa" w:w="0"/>
                    <w:right w:type="dxa" w:w="0"/>
                  </w:tcMar>
                  <w:vAlign w:val="top"/>
                </w:tcPr>
                <w:p>
                  <w:pPr>
                    <w:pStyle w:val="null3"/>
                    <w:jc w:val="center"/>
                  </w:pPr>
                  <w:r>
                    <w:rPr>
                      <w:rFonts w:ascii="仿宋" w:hAnsi="仿宋" w:cs="仿宋" w:eastAsia="仿宋"/>
                      <w:sz w:val="24"/>
                    </w:rPr>
                    <w:t>7</w:t>
                  </w:r>
                </w:p>
              </w:tc>
              <w:tc>
                <w:tcPr>
                  <w:tcW w:type="dxa" w:w="38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保护功能</w:t>
                  </w:r>
                </w:p>
              </w:tc>
              <w:tc>
                <w:tcPr>
                  <w:tcW w:type="dxa" w:w="1961"/>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UPS具有交流输入过、欠压保护，输出短路保护，过温度保护，电池电压低保护等功能，并在异常时发出告警。</w:t>
                  </w:r>
                </w:p>
              </w:tc>
            </w:tr>
            <w:tr>
              <w:tc>
                <w:tcPr>
                  <w:tcW w:type="dxa" w:w="210"/>
                  <w:tcBorders>
                    <w:top w:val="none" w:color="000000" w:sz="4"/>
                    <w:left w:val="single" w:color="000000" w:sz="4"/>
                    <w:bottom w:val="single" w:color="000000" w:sz="4"/>
                    <w:right w:val="single" w:color="000000" w:sz="4"/>
                  </w:tcBorders>
                  <w:shd w:fill="CED7E7"/>
                  <w:tcMar>
                    <w:top w:type="dxa" w:w="0"/>
                    <w:left w:type="dxa" w:w="0"/>
                    <w:bottom w:type="dxa" w:w="0"/>
                    <w:right w:type="dxa" w:w="0"/>
                  </w:tcMar>
                  <w:vAlign w:val="top"/>
                </w:tcPr>
                <w:p>
                  <w:pPr>
                    <w:pStyle w:val="null3"/>
                    <w:jc w:val="center"/>
                  </w:pPr>
                  <w:r>
                    <w:rPr>
                      <w:rFonts w:ascii="仿宋" w:hAnsi="仿宋" w:cs="仿宋" w:eastAsia="仿宋"/>
                      <w:sz w:val="24"/>
                    </w:rPr>
                    <w:t>8</w:t>
                  </w:r>
                </w:p>
              </w:tc>
              <w:tc>
                <w:tcPr>
                  <w:tcW w:type="dxa" w:w="38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电源模块</w:t>
                  </w:r>
                </w:p>
              </w:tc>
              <w:tc>
                <w:tcPr>
                  <w:tcW w:type="dxa" w:w="1961"/>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both"/>
                  </w:pPr>
                  <w:r>
                    <w:rPr>
                      <w:rFonts w:ascii="仿宋" w:hAnsi="仿宋" w:cs="仿宋" w:eastAsia="仿宋"/>
                      <w:sz w:val="24"/>
                    </w:rPr>
                    <w:t>配置</w:t>
                  </w:r>
                  <w:r>
                    <w:rPr>
                      <w:rFonts w:ascii="仿宋" w:hAnsi="仿宋" w:cs="仿宋" w:eastAsia="仿宋"/>
                      <w:sz w:val="24"/>
                    </w:rPr>
                    <w:t>3块30KVA模块，实现2</w:t>
                  </w:r>
                  <w:r>
                    <w:rPr>
                      <w:rFonts w:ascii="仿宋" w:hAnsi="仿宋" w:cs="仿宋" w:eastAsia="仿宋"/>
                      <w:sz w:val="24"/>
                    </w:rPr>
                    <w:t>+1</w:t>
                  </w:r>
                  <w:r>
                    <w:rPr>
                      <w:rFonts w:ascii="仿宋" w:hAnsi="仿宋" w:cs="仿宋" w:eastAsia="仿宋"/>
                      <w:sz w:val="24"/>
                    </w:rPr>
                    <w:t>冗余。</w:t>
                  </w:r>
                </w:p>
              </w:tc>
            </w:tr>
          </w:tbl>
          <w:p>
            <w:pPr>
              <w:pStyle w:val="null3"/>
              <w:numPr>
                <w:ilvl w:val="2"/>
                <w:numId w:val="1"/>
              </w:numPr>
              <w:spacing w:after="120"/>
              <w:jc w:val="both"/>
            </w:pPr>
            <w:r>
              <w:rPr>
                <w:rFonts w:ascii="cambria" w:hAnsi="cambria" w:cs="cambria" w:eastAsia="cambria"/>
                <w:b/>
                <w:sz w:val="24"/>
              </w:rPr>
              <w:t>UPS</w:t>
            </w:r>
            <w:r>
              <w:rPr>
                <w:rFonts w:ascii="宋体" w:hAnsi="宋体" w:cs="宋体" w:eastAsia="宋体"/>
                <w:b/>
                <w:sz w:val="24"/>
              </w:rPr>
              <w:t>电池</w:t>
            </w:r>
          </w:p>
          <w:p>
            <w:pPr>
              <w:pStyle w:val="null3"/>
              <w:ind w:firstLine="480"/>
              <w:jc w:val="both"/>
            </w:pPr>
            <w:r>
              <w:rPr>
                <w:rFonts w:ascii="仿宋" w:hAnsi="仿宋" w:cs="仿宋" w:eastAsia="仿宋"/>
                <w:sz w:val="24"/>
              </w:rPr>
              <w:t>目前我院</w:t>
            </w:r>
            <w:r>
              <w:rPr>
                <w:rFonts w:ascii="仿宋" w:hAnsi="仿宋" w:cs="仿宋" w:eastAsia="仿宋"/>
                <w:sz w:val="24"/>
              </w:rPr>
              <w:t>UPS电池已超出其使用年限，电池老化存在安全隐患。</w:t>
            </w:r>
          </w:p>
          <w:p>
            <w:pPr>
              <w:pStyle w:val="null3"/>
              <w:ind w:firstLine="480"/>
              <w:jc w:val="both"/>
            </w:pPr>
            <w:r>
              <w:rPr>
                <w:rFonts w:ascii="仿宋" w:hAnsi="仿宋" w:cs="仿宋" w:eastAsia="仿宋"/>
                <w:sz w:val="24"/>
              </w:rPr>
              <w:t>UPS电池组对我院中心机房核心设备及系统的运行起着应急供电的安全保障作用，目前现用电池已超出其设计的使用年限，电池老化存在安全隐患，需更新电池组，消除安全隐患，为设备提供稳定的电力，保证设备正常运行。</w:t>
            </w:r>
          </w:p>
          <w:p>
            <w:pPr>
              <w:pStyle w:val="null3"/>
              <w:ind w:firstLine="480"/>
              <w:jc w:val="both"/>
            </w:pPr>
            <w:r>
              <w:rPr>
                <w:rFonts w:ascii="仿宋" w:hAnsi="仿宋" w:cs="仿宋" w:eastAsia="仿宋"/>
                <w:sz w:val="24"/>
              </w:rPr>
              <w:t>技术要求如下：</w:t>
            </w:r>
          </w:p>
          <w:tbl>
            <w:tblPr>
              <w:tblBorders>
                <w:top w:val="none" w:color="000000" w:sz="4"/>
                <w:left w:val="none" w:color="000000" w:sz="4"/>
                <w:bottom w:val="none" w:color="000000" w:sz="4"/>
                <w:right w:val="none" w:color="000000" w:sz="4"/>
                <w:insideH w:val="none"/>
                <w:insideV w:val="none"/>
              </w:tblBorders>
            </w:tblPr>
            <w:tblGrid>
              <w:gridCol w:w="236"/>
              <w:gridCol w:w="824"/>
              <w:gridCol w:w="1492"/>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序号</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项目型号</w:t>
                  </w: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b/>
                      <w:color w:val="000000"/>
                      <w:sz w:val="21"/>
                    </w:rPr>
                    <w:t>描述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蓄电池组</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12V1</w:t>
                  </w:r>
                  <w:r>
                    <w:rPr>
                      <w:rFonts w:ascii="仿宋" w:hAnsi="仿宋" w:cs="仿宋" w:eastAsia="仿宋"/>
                      <w:color w:val="000000"/>
                      <w:sz w:val="21"/>
                    </w:rPr>
                    <w:t>0</w:t>
                  </w:r>
                  <w:r>
                    <w:rPr>
                      <w:rFonts w:ascii="仿宋" w:hAnsi="仿宋" w:cs="仿宋" w:eastAsia="仿宋"/>
                      <w:color w:val="000000"/>
                      <w:sz w:val="21"/>
                    </w:rPr>
                    <w:t>0AH，8</w:t>
                  </w:r>
                  <w:r>
                    <w:rPr>
                      <w:rFonts w:ascii="仿宋" w:hAnsi="仿宋" w:cs="仿宋" w:eastAsia="仿宋"/>
                      <w:color w:val="000000"/>
                      <w:sz w:val="21"/>
                    </w:rPr>
                    <w:t>0</w:t>
                  </w:r>
                  <w:r>
                    <w:rPr>
                      <w:rFonts w:ascii="仿宋" w:hAnsi="仿宋" w:cs="仿宋" w:eastAsia="仿宋"/>
                      <w:color w:val="000000"/>
                      <w:sz w:val="21"/>
                    </w:rPr>
                    <w:t>节</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2</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电池直流开关箱</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直流</w:t>
                  </w:r>
                  <w:r>
                    <w:rPr>
                      <w:rFonts w:ascii="仿宋" w:hAnsi="仿宋" w:cs="仿宋" w:eastAsia="仿宋"/>
                      <w:color w:val="000000"/>
                      <w:sz w:val="21"/>
                    </w:rPr>
                    <w:t>DC750V3P250A</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3</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电池线缆</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BVR70</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4</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附件</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color w:val="000000"/>
                      <w:sz w:val="21"/>
                    </w:rPr>
                    <w:t>配置所需电池架、汇流箱，包含现有电池的拆除、搬运及本次采购的电池的安装。</w:t>
                  </w:r>
                </w:p>
              </w:tc>
            </w:tr>
          </w:tbl>
          <w:p>
            <w:pPr>
              <w:pStyle w:val="null3"/>
              <w:spacing w:after="120"/>
              <w:ind w:firstLine="480"/>
              <w:jc w:val="both"/>
            </w:pPr>
            <w:r>
              <w:rPr/>
              <w:t xml:space="preserve"> </w:t>
            </w:r>
          </w:p>
          <w:p>
            <w:pPr>
              <w:pStyle w:val="null3"/>
              <w:numPr>
                <w:ilvl w:val="0"/>
                <w:numId w:val="1"/>
              </w:numPr>
              <w:spacing w:before="120"/>
            </w:pPr>
            <w:r>
              <w:rPr>
                <w:rFonts w:ascii="仿宋" w:hAnsi="仿宋" w:cs="仿宋" w:eastAsia="仿宋"/>
                <w:b/>
                <w:sz w:val="32"/>
              </w:rPr>
              <w:t>服务要求</w:t>
            </w:r>
          </w:p>
          <w:p>
            <w:pPr>
              <w:pStyle w:val="null3"/>
              <w:ind w:firstLine="482"/>
              <w:jc w:val="both"/>
            </w:pPr>
            <w:r>
              <w:rPr>
                <w:rFonts w:ascii="仿宋" w:hAnsi="仿宋" w:cs="仿宋" w:eastAsia="仿宋"/>
                <w:b/>
                <w:sz w:val="24"/>
              </w:rPr>
              <w:t>1、服务响应时间：</w:t>
            </w:r>
            <w:r>
              <w:rPr>
                <w:rFonts w:ascii="仿宋" w:hAnsi="仿宋" w:cs="仿宋" w:eastAsia="仿宋"/>
                <w:sz w:val="24"/>
              </w:rPr>
              <w:t>从服务需求提出，即用户方开始拨打服务方热线服务电话后开始计时。现场工程师不能解决的问题须联系厂家。问题要求服务提供方承诺在服务需求提出后</w:t>
            </w:r>
            <w:r>
              <w:rPr>
                <w:rFonts w:ascii="仿宋" w:hAnsi="仿宋" w:cs="仿宋" w:eastAsia="仿宋"/>
                <w:sz w:val="24"/>
              </w:rPr>
              <w:t>5</w:t>
            </w:r>
            <w:r>
              <w:rPr>
                <w:rFonts w:ascii="仿宋" w:hAnsi="仿宋" w:cs="仿宋" w:eastAsia="仿宋"/>
                <w:sz w:val="24"/>
              </w:rPr>
              <w:t>分钟之内提供电话响应或在线支持服务，并于</w:t>
            </w:r>
            <w:r>
              <w:rPr>
                <w:rFonts w:ascii="仿宋" w:hAnsi="仿宋" w:cs="仿宋" w:eastAsia="仿宋"/>
                <w:sz w:val="24"/>
              </w:rPr>
              <w:t>0.5</w:t>
            </w:r>
            <w:r>
              <w:rPr>
                <w:rFonts w:ascii="仿宋" w:hAnsi="仿宋" w:cs="仿宋" w:eastAsia="仿宋"/>
                <w:sz w:val="24"/>
              </w:rPr>
              <w:t>小时内到达现场，</w:t>
            </w:r>
            <w:r>
              <w:rPr>
                <w:rFonts w:ascii="仿宋" w:hAnsi="仿宋" w:cs="仿宋" w:eastAsia="仿宋"/>
                <w:sz w:val="24"/>
              </w:rPr>
              <w:t>2小时内恢复系统运行，4小时内彻底排除设备故障。</w:t>
            </w:r>
          </w:p>
          <w:p>
            <w:pPr>
              <w:pStyle w:val="null3"/>
              <w:ind w:firstLine="482"/>
              <w:jc w:val="both"/>
            </w:pPr>
            <w:r>
              <w:rPr>
                <w:rFonts w:ascii="仿宋" w:hAnsi="仿宋" w:cs="仿宋" w:eastAsia="仿宋"/>
                <w:b/>
                <w:sz w:val="24"/>
              </w:rPr>
              <w:t>2、培    训：</w:t>
            </w:r>
            <w:r>
              <w:rPr>
                <w:rFonts w:ascii="仿宋" w:hAnsi="仿宋" w:cs="仿宋" w:eastAsia="仿宋"/>
                <w:sz w:val="24"/>
              </w:rPr>
              <w:t>提供</w:t>
            </w:r>
            <w:r>
              <w:rPr>
                <w:rFonts w:ascii="仿宋" w:hAnsi="仿宋" w:cs="仿宋" w:eastAsia="仿宋"/>
                <w:sz w:val="24"/>
              </w:rPr>
              <w:t>≥1天现场系统运行维护培训。</w:t>
            </w:r>
          </w:p>
          <w:p>
            <w:pPr>
              <w:pStyle w:val="null3"/>
              <w:ind w:firstLine="482"/>
              <w:jc w:val="both"/>
            </w:pPr>
            <w:r>
              <w:rPr>
                <w:rFonts w:ascii="仿宋" w:hAnsi="仿宋" w:cs="仿宋" w:eastAsia="仿宋"/>
                <w:b/>
                <w:sz w:val="24"/>
              </w:rPr>
              <w:t>3、</w:t>
            </w:r>
            <w:r>
              <w:rPr>
                <w:rFonts w:ascii="仿宋" w:hAnsi="仿宋" w:cs="仿宋" w:eastAsia="仿宋"/>
                <w:b/>
                <w:sz w:val="24"/>
              </w:rPr>
              <w:t>厂商交付：</w:t>
            </w:r>
            <w:r>
              <w:rPr>
                <w:rFonts w:ascii="仿宋" w:hAnsi="仿宋" w:cs="仿宋" w:eastAsia="仿宋"/>
                <w:sz w:val="24"/>
              </w:rPr>
              <w:t>提供厂商工程师实施服务</w:t>
            </w:r>
            <w:r>
              <w:rPr>
                <w:rFonts w:ascii="仿宋" w:hAnsi="仿宋" w:cs="仿宋" w:eastAsia="仿宋"/>
                <w:sz w:val="24"/>
              </w:rPr>
              <w:t>。</w:t>
            </w:r>
          </w:p>
          <w:p>
            <w:pPr>
              <w:pStyle w:val="null3"/>
              <w:ind w:firstLine="482"/>
              <w:jc w:val="both"/>
            </w:pPr>
            <w:r>
              <w:rPr>
                <w:rFonts w:ascii="仿宋" w:hAnsi="仿宋" w:cs="仿宋" w:eastAsia="仿宋"/>
                <w:b/>
                <w:sz w:val="24"/>
              </w:rPr>
              <w:t>4、硬件巡检：</w:t>
            </w:r>
            <w:r>
              <w:rPr>
                <w:rFonts w:ascii="仿宋" w:hAnsi="仿宋" w:cs="仿宋" w:eastAsia="仿宋"/>
                <w:sz w:val="24"/>
              </w:rPr>
              <w:t>提供每季度</w:t>
            </w:r>
            <w:r>
              <w:rPr>
                <w:rFonts w:ascii="仿宋" w:hAnsi="仿宋" w:cs="仿宋" w:eastAsia="仿宋"/>
                <w:sz w:val="24"/>
              </w:rPr>
              <w:t>≥1次的硬件设备运行情况检查。</w:t>
            </w:r>
          </w:p>
          <w:p>
            <w:pPr>
              <w:pStyle w:val="null3"/>
              <w:ind w:firstLine="482"/>
              <w:jc w:val="both"/>
            </w:pPr>
            <w:r>
              <w:rPr>
                <w:rFonts w:ascii="仿宋" w:hAnsi="仿宋" w:cs="仿宋" w:eastAsia="仿宋"/>
                <w:b/>
                <w:sz w:val="24"/>
              </w:rPr>
              <w:t>5、系统巡检：</w:t>
            </w:r>
            <w:r>
              <w:rPr>
                <w:rFonts w:ascii="仿宋" w:hAnsi="仿宋" w:cs="仿宋" w:eastAsia="仿宋"/>
                <w:sz w:val="24"/>
              </w:rPr>
              <w:t>提供每季度</w:t>
            </w:r>
            <w:r>
              <w:rPr>
                <w:rFonts w:ascii="仿宋" w:hAnsi="仿宋" w:cs="仿宋" w:eastAsia="仿宋"/>
                <w:sz w:val="24"/>
              </w:rPr>
              <w:t>≥1次的系统健康检查。</w:t>
            </w:r>
          </w:p>
          <w:p>
            <w:pPr>
              <w:pStyle w:val="null3"/>
              <w:ind w:firstLine="482"/>
              <w:jc w:val="both"/>
            </w:pPr>
            <w:r>
              <w:rPr>
                <w:rFonts w:ascii="仿宋" w:hAnsi="仿宋" w:cs="仿宋" w:eastAsia="仿宋"/>
                <w:b/>
                <w:sz w:val="24"/>
              </w:rPr>
              <w:t>6、微码升级：</w:t>
            </w:r>
            <w:r>
              <w:rPr>
                <w:rFonts w:ascii="仿宋" w:hAnsi="仿宋" w:cs="仿宋" w:eastAsia="仿宋"/>
                <w:sz w:val="24"/>
              </w:rPr>
              <w:t>建立硬件微码档案，制订升级方案，根据需要协助用户方实施升级工作。</w:t>
            </w:r>
          </w:p>
          <w:p>
            <w:pPr>
              <w:pStyle w:val="null3"/>
              <w:ind w:firstLine="482"/>
              <w:jc w:val="both"/>
            </w:pPr>
            <w:r>
              <w:rPr>
                <w:rFonts w:ascii="仿宋" w:hAnsi="仿宋" w:cs="仿宋" w:eastAsia="仿宋"/>
                <w:b/>
                <w:sz w:val="24"/>
              </w:rPr>
              <w:t>7、备份及恢复：</w:t>
            </w:r>
            <w:r>
              <w:rPr>
                <w:rFonts w:ascii="仿宋" w:hAnsi="仿宋" w:cs="仿宋" w:eastAsia="仿宋"/>
                <w:sz w:val="24"/>
              </w:rPr>
              <w:t>协助医院制定完善的备份及恢复方案，并提供本项目的应急方案。</w:t>
            </w:r>
          </w:p>
          <w:p>
            <w:pPr>
              <w:pStyle w:val="null3"/>
              <w:ind w:firstLine="482"/>
              <w:jc w:val="both"/>
            </w:pPr>
            <w:r>
              <w:rPr>
                <w:rFonts w:ascii="仿宋" w:hAnsi="仿宋" w:cs="仿宋" w:eastAsia="仿宋"/>
                <w:b/>
                <w:sz w:val="24"/>
              </w:rPr>
              <w:t>8、保修及免费升级：</w:t>
            </w:r>
            <w:r>
              <w:rPr>
                <w:rFonts w:ascii="仿宋" w:hAnsi="仿宋" w:cs="仿宋" w:eastAsia="仿宋"/>
                <w:sz w:val="24"/>
              </w:rPr>
              <w:t>提供</w:t>
            </w:r>
            <w:r>
              <w:rPr>
                <w:rFonts w:ascii="仿宋" w:hAnsi="仿宋" w:cs="仿宋" w:eastAsia="仿宋"/>
                <w:sz w:val="24"/>
              </w:rPr>
              <w:t>3年</w:t>
            </w:r>
            <w:r>
              <w:rPr>
                <w:rFonts w:ascii="仿宋" w:hAnsi="仿宋" w:cs="仿宋" w:eastAsia="仿宋"/>
                <w:sz w:val="24"/>
              </w:rPr>
              <w:t>厂商</w:t>
            </w:r>
            <w:r>
              <w:rPr>
                <w:rFonts w:ascii="仿宋" w:hAnsi="仿宋" w:cs="仿宋" w:eastAsia="仿宋"/>
                <w:sz w:val="24"/>
              </w:rPr>
              <w:t>免费保修、现场技术支持及软件免费升级服务。</w:t>
            </w:r>
          </w:p>
          <w:p>
            <w:pPr>
              <w:pStyle w:val="null3"/>
              <w:ind w:firstLine="482"/>
              <w:jc w:val="both"/>
            </w:pPr>
            <w:r>
              <w:rPr>
                <w:rFonts w:ascii="仿宋" w:hAnsi="仿宋" w:cs="仿宋" w:eastAsia="仿宋"/>
                <w:b/>
                <w:sz w:val="24"/>
              </w:rPr>
              <w:t>9</w:t>
            </w:r>
            <w:r>
              <w:rPr>
                <w:rFonts w:ascii="仿宋" w:hAnsi="仿宋" w:cs="仿宋" w:eastAsia="仿宋"/>
                <w:b/>
                <w:sz w:val="24"/>
              </w:rPr>
              <w:t>、辅材及配件：</w:t>
            </w:r>
            <w:r>
              <w:rPr>
                <w:rFonts w:ascii="仿宋" w:hAnsi="仿宋" w:cs="仿宋" w:eastAsia="仿宋"/>
                <w:sz w:val="24"/>
              </w:rPr>
              <w:t>免费提供本项目所需辅材及配件。</w:t>
            </w:r>
          </w:p>
          <w:p>
            <w:pPr>
              <w:pStyle w:val="null3"/>
              <w:ind w:firstLine="482"/>
              <w:jc w:val="left"/>
            </w:pPr>
            <w:r>
              <w:rPr>
                <w:rFonts w:ascii="仿宋" w:hAnsi="仿宋" w:cs="仿宋" w:eastAsia="仿宋"/>
                <w:b/>
                <w:sz w:val="24"/>
              </w:rPr>
              <w:t>1</w:t>
            </w:r>
            <w:r>
              <w:rPr>
                <w:rFonts w:ascii="仿宋" w:hAnsi="仿宋" w:cs="仿宋" w:eastAsia="仿宋"/>
                <w:b/>
                <w:sz w:val="24"/>
              </w:rPr>
              <w:t>0</w:t>
            </w:r>
            <w:r>
              <w:rPr>
                <w:rFonts w:ascii="仿宋" w:hAnsi="仿宋" w:cs="仿宋" w:eastAsia="仿宋"/>
                <w:b/>
                <w:sz w:val="24"/>
              </w:rPr>
              <w:t>、现有超融合平台系统升级：</w:t>
            </w:r>
            <w:r>
              <w:rPr>
                <w:rFonts w:ascii="仿宋" w:hAnsi="仿宋" w:cs="仿宋" w:eastAsia="仿宋"/>
                <w:sz w:val="24"/>
              </w:rPr>
              <w:t>本次新增超融合节点扩容实施时，需要将现有的超融合平台升级到最新的软件版本。</w:t>
            </w:r>
          </w:p>
          <w:p>
            <w:pPr>
              <w:pStyle w:val="null3"/>
              <w:ind w:firstLine="200"/>
              <w:jc w:val="both"/>
            </w:pPr>
            <w:r>
              <w:rPr>
                <w:rFonts w:ascii="仿宋" w:hAnsi="仿宋" w:cs="仿宋" w:eastAsia="仿宋"/>
                <w:b/>
                <w:sz w:val="24"/>
              </w:rPr>
              <w:t>11</w:t>
            </w:r>
            <w:r>
              <w:rPr>
                <w:rFonts w:ascii="仿宋" w:hAnsi="仿宋" w:cs="仿宋" w:eastAsia="仿宋"/>
                <w:b/>
                <w:sz w:val="24"/>
              </w:rPr>
              <w:t>、售后服务：</w:t>
            </w:r>
            <w:r>
              <w:rPr>
                <w:rFonts w:ascii="仿宋" w:hAnsi="仿宋" w:cs="仿宋" w:eastAsia="仿宋"/>
                <w:sz w:val="24"/>
              </w:rPr>
              <w:t>由于目前医院灾备一体机及内网超融合承载着医院的核心业务系统及数据，对其进行相应扩容，技术复杂度大，且有一定的数据丢失及业务中断的风险，因此需要投标商提供灾备一体机及内网超融合扩容设备厂家的售后服务。</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标的名称：网络安全等保测评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2"/>
              </w:numPr>
              <w:jc w:val="both"/>
            </w:pPr>
            <w:r>
              <w:rPr>
                <w:rFonts w:ascii="宋体" w:hAnsi="宋体" w:cs="宋体" w:eastAsia="宋体"/>
                <w:b/>
                <w:sz w:val="30"/>
              </w:rPr>
              <w:t>项目服务内容</w:t>
            </w:r>
          </w:p>
          <w:p>
            <w:pPr>
              <w:pStyle w:val="null3"/>
              <w:numPr>
                <w:ilvl w:val="0"/>
                <w:numId w:val="1"/>
              </w:numPr>
              <w:jc w:val="both"/>
            </w:pPr>
            <w:r>
              <w:rPr>
                <w:rFonts w:ascii="宋体" w:hAnsi="宋体" w:cs="宋体" w:eastAsia="宋体"/>
                <w:sz w:val="24"/>
              </w:rPr>
              <w:t>项目周期：一年</w:t>
            </w:r>
          </w:p>
          <w:p>
            <w:pPr>
              <w:pStyle w:val="null3"/>
              <w:numPr>
                <w:ilvl w:val="0"/>
                <w:numId w:val="1"/>
              </w:numPr>
              <w:jc w:val="both"/>
            </w:pPr>
            <w:r>
              <w:rPr>
                <w:rFonts w:ascii="宋体" w:hAnsi="宋体" w:cs="宋体" w:eastAsia="宋体"/>
                <w:sz w:val="24"/>
              </w:rPr>
              <w:t>验收方式：项目验收分两个阶段。第一阶段：等保测评验收；第二阶段：安全服务验收。</w:t>
            </w:r>
          </w:p>
          <w:p>
            <w:pPr>
              <w:pStyle w:val="null3"/>
              <w:numPr>
                <w:ilvl w:val="0"/>
                <w:numId w:val="1"/>
              </w:numPr>
              <w:jc w:val="both"/>
            </w:pPr>
            <w:r>
              <w:rPr>
                <w:rFonts w:ascii="宋体" w:hAnsi="宋体" w:cs="宋体" w:eastAsia="宋体"/>
                <w:sz w:val="24"/>
              </w:rPr>
              <w:t>付款方式：安全服务半年后且</w:t>
            </w:r>
            <w:r>
              <w:rPr>
                <w:rFonts w:ascii="宋体" w:hAnsi="宋体" w:cs="宋体" w:eastAsia="宋体"/>
                <w:sz w:val="24"/>
              </w:rPr>
              <w:t>等保测评验收</w:t>
            </w:r>
            <w:r>
              <w:rPr>
                <w:rFonts w:ascii="宋体" w:hAnsi="宋体" w:cs="宋体" w:eastAsia="宋体"/>
                <w:sz w:val="24"/>
              </w:rPr>
              <w:t>合格支付</w:t>
            </w:r>
            <w:r>
              <w:rPr>
                <w:rFonts w:ascii="宋体" w:hAnsi="宋体" w:cs="宋体" w:eastAsia="宋体"/>
                <w:sz w:val="24"/>
              </w:rPr>
              <w:t>50%，安全服务一年后验收合格支付50%。</w:t>
            </w:r>
          </w:p>
          <w:p>
            <w:pPr>
              <w:pStyle w:val="null3"/>
              <w:ind w:firstLine="420"/>
              <w:jc w:val="both"/>
            </w:pPr>
            <w:r>
              <w:rPr>
                <w:rFonts w:ascii="宋体" w:hAnsi="宋体" w:cs="宋体" w:eastAsia="宋体"/>
                <w:sz w:val="24"/>
              </w:rPr>
              <w:t>预算金额：</w:t>
            </w:r>
            <w:r>
              <w:rPr>
                <w:rFonts w:ascii="宋体" w:hAnsi="宋体" w:cs="宋体" w:eastAsia="宋体"/>
                <w:sz w:val="24"/>
              </w:rPr>
              <w:t>34</w:t>
            </w:r>
            <w:r>
              <w:rPr>
                <w:rFonts w:ascii="宋体" w:hAnsi="宋体" w:cs="宋体" w:eastAsia="宋体"/>
                <w:sz w:val="24"/>
              </w:rPr>
              <w:t>万元</w:t>
            </w:r>
          </w:p>
          <w:tbl>
            <w:tblPr>
              <w:tblBorders>
                <w:top w:val="none" w:color="000000" w:sz="4"/>
                <w:left w:val="none" w:color="000000" w:sz="4"/>
                <w:bottom w:val="none" w:color="000000" w:sz="4"/>
                <w:right w:val="none" w:color="000000" w:sz="4"/>
                <w:insideH w:val="none"/>
                <w:insideV w:val="none"/>
              </w:tblBorders>
            </w:tblPr>
            <w:tblGrid>
              <w:gridCol w:w="851"/>
              <w:gridCol w:w="1295"/>
              <w:gridCol w:w="407"/>
            </w:tblGrid>
            <w:tr>
              <w:tc>
                <w:tcPr>
                  <w:tcW w:type="dxa" w:w="85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129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宋体" w:hAnsi="宋体" w:cs="宋体" w:eastAsia="宋体"/>
                      <w:b/>
                      <w:sz w:val="24"/>
                    </w:rPr>
                    <w:t>系统名称</w:t>
                  </w:r>
                </w:p>
              </w:tc>
              <w:tc>
                <w:tcPr>
                  <w:tcW w:type="dxa" w:w="40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宋体" w:hAnsi="宋体" w:cs="宋体" w:eastAsia="宋体"/>
                      <w:b/>
                      <w:sz w:val="24"/>
                    </w:rPr>
                    <w:t>系统级别</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集成平台</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互联网医院</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医院核心业务系统</w:t>
                  </w:r>
                  <w:r>
                    <w:rPr>
                      <w:rFonts w:ascii="宋体" w:hAnsi="宋体" w:cs="宋体" w:eastAsia="宋体"/>
                      <w:sz w:val="24"/>
                    </w:rPr>
                    <w:t>（</w:t>
                  </w:r>
                  <w:r>
                    <w:rPr>
                      <w:rFonts w:ascii="宋体" w:hAnsi="宋体" w:cs="宋体" w:eastAsia="宋体"/>
                      <w:sz w:val="24"/>
                    </w:rPr>
                    <w:t>HIS、</w:t>
                  </w:r>
                  <w:r>
                    <w:rPr>
                      <w:rFonts w:ascii="宋体" w:hAnsi="宋体" w:cs="宋体" w:eastAsia="宋体"/>
                      <w:sz w:val="24"/>
                    </w:rPr>
                    <w:t>PACS</w:t>
                  </w:r>
                  <w:r>
                    <w:rPr>
                      <w:rFonts w:ascii="宋体" w:hAnsi="宋体" w:cs="宋体" w:eastAsia="宋体"/>
                      <w:sz w:val="24"/>
                    </w:rPr>
                    <w:t>、</w:t>
                  </w:r>
                  <w:r>
                    <w:rPr>
                      <w:rFonts w:ascii="宋体" w:hAnsi="宋体" w:cs="宋体" w:eastAsia="宋体"/>
                      <w:sz w:val="24"/>
                    </w:rPr>
                    <w:t>LIS</w:t>
                  </w:r>
                  <w:r>
                    <w:rPr>
                      <w:rFonts w:ascii="宋体" w:hAnsi="宋体" w:cs="宋体" w:eastAsia="宋体"/>
                      <w:sz w:val="24"/>
                    </w:rPr>
                    <w:t>、</w:t>
                  </w:r>
                  <w:r>
                    <w:rPr>
                      <w:rFonts w:ascii="宋体" w:hAnsi="宋体" w:cs="宋体" w:eastAsia="宋体"/>
                      <w:sz w:val="24"/>
                    </w:rPr>
                    <w:t>EMR</w:t>
                  </w:r>
                  <w:r>
                    <w:rPr>
                      <w:rFonts w:ascii="宋体" w:hAnsi="宋体" w:cs="宋体" w:eastAsia="宋体"/>
                      <w:sz w:val="24"/>
                    </w:rPr>
                    <w:t>）</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OA系统</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门户网站</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二级</w:t>
                  </w:r>
                </w:p>
              </w:tc>
            </w:tr>
          </w:tbl>
          <w:p>
            <w:pPr>
              <w:pStyle w:val="null3"/>
              <w:numPr>
                <w:ilvl w:val="0"/>
                <w:numId w:val="1"/>
              </w:numPr>
              <w:jc w:val="both"/>
            </w:pPr>
            <w:r>
              <w:rPr>
                <w:rFonts w:ascii="宋体" w:hAnsi="宋体" w:cs="宋体" w:eastAsia="宋体"/>
                <w:sz w:val="24"/>
              </w:rPr>
              <w:t>系统调研：在系统相关人员的协助下，对上述信息系统进行调研和梳理，了解</w:t>
            </w:r>
            <w:r>
              <w:rPr>
                <w:rFonts w:ascii="宋体" w:hAnsi="宋体" w:cs="宋体" w:eastAsia="宋体"/>
                <w:sz w:val="24"/>
              </w:rPr>
              <w:t>系统</w:t>
            </w:r>
            <w:r>
              <w:rPr>
                <w:rFonts w:ascii="宋体" w:hAnsi="宋体" w:cs="宋体" w:eastAsia="宋体"/>
                <w:sz w:val="24"/>
              </w:rPr>
              <w:t>当前信息系统资产现状。</w:t>
            </w:r>
          </w:p>
          <w:p>
            <w:pPr>
              <w:pStyle w:val="null3"/>
              <w:numPr>
                <w:ilvl w:val="0"/>
                <w:numId w:val="1"/>
              </w:numPr>
              <w:jc w:val="both"/>
            </w:pPr>
            <w:r>
              <w:rPr>
                <w:rFonts w:ascii="宋体" w:hAnsi="宋体" w:cs="宋体" w:eastAsia="宋体"/>
                <w:sz w:val="24"/>
              </w:rPr>
              <w:t>现场测评：根据国家等级测评的相关标准及已编制的相关等级保护测评指导书对信息系统中的相关资产进行测评项的检查、记录检查结果。</w:t>
            </w:r>
          </w:p>
          <w:p>
            <w:pPr>
              <w:pStyle w:val="null3"/>
              <w:numPr>
                <w:ilvl w:val="0"/>
                <w:numId w:val="1"/>
              </w:numPr>
              <w:jc w:val="both"/>
            </w:pPr>
            <w:r>
              <w:rPr>
                <w:rFonts w:ascii="宋体" w:hAnsi="宋体" w:cs="宋体" w:eastAsia="宋体"/>
                <w:sz w:val="24"/>
              </w:rPr>
              <w:t>分析整改：根据前述工作内容，分析信息系统安全情况与等级保护基本要求的差距</w:t>
            </w:r>
            <w:r>
              <w:rPr>
                <w:rFonts w:ascii="宋体" w:hAnsi="宋体" w:cs="宋体" w:eastAsia="宋体"/>
                <w:sz w:val="24"/>
              </w:rPr>
              <w:t>,提供差异化测评服务，并进行风险分析，可根据现场情况出具科学合理的整改建议及整改方案，配合采购单位安全整改工作。</w:t>
            </w:r>
          </w:p>
          <w:p>
            <w:pPr>
              <w:pStyle w:val="null3"/>
              <w:numPr>
                <w:ilvl w:val="0"/>
                <w:numId w:val="1"/>
              </w:numPr>
              <w:jc w:val="both"/>
            </w:pPr>
            <w:r>
              <w:rPr>
                <w:rFonts w:ascii="宋体" w:hAnsi="宋体" w:cs="宋体" w:eastAsia="宋体"/>
                <w:sz w:val="24"/>
              </w:rPr>
              <w:t>结论报告：根据前述工作内容，分析当前信息系统安全保护能力是否符合相应等级的安全要求，针对整改项进行再次测评</w:t>
            </w:r>
            <w:r>
              <w:rPr>
                <w:rFonts w:ascii="宋体" w:hAnsi="宋体" w:cs="宋体" w:eastAsia="宋体"/>
                <w:sz w:val="24"/>
              </w:rPr>
              <w:t>,提供安全等级符合性测评服务，出具相关系统测评报告。</w:t>
            </w:r>
          </w:p>
          <w:p>
            <w:pPr>
              <w:pStyle w:val="null3"/>
              <w:numPr>
                <w:ilvl w:val="0"/>
                <w:numId w:val="1"/>
              </w:numPr>
              <w:jc w:val="both"/>
            </w:pPr>
            <w:r>
              <w:rPr>
                <w:rFonts w:ascii="宋体" w:hAnsi="宋体" w:cs="宋体" w:eastAsia="宋体"/>
                <w:sz w:val="24"/>
              </w:rPr>
              <w:t>配合验收：整理项目过程中所有相关的过程文档，提交</w:t>
            </w:r>
            <w:r>
              <w:rPr>
                <w:rFonts w:ascii="宋体" w:hAnsi="宋体" w:cs="宋体" w:eastAsia="宋体"/>
                <w:sz w:val="24"/>
              </w:rPr>
              <w:t>系统</w:t>
            </w:r>
            <w:r>
              <w:rPr>
                <w:rFonts w:ascii="宋体" w:hAnsi="宋体" w:cs="宋体" w:eastAsia="宋体"/>
                <w:sz w:val="24"/>
              </w:rPr>
              <w:t>相关人员。</w:t>
            </w:r>
          </w:p>
          <w:p>
            <w:pPr>
              <w:pStyle w:val="null3"/>
              <w:numPr>
                <w:ilvl w:val="0"/>
                <w:numId w:val="2"/>
              </w:numPr>
              <w:jc w:val="both"/>
            </w:pPr>
            <w:r>
              <w:rPr>
                <w:rFonts w:ascii="宋体" w:hAnsi="宋体" w:cs="宋体" w:eastAsia="宋体"/>
                <w:b/>
                <w:sz w:val="30"/>
              </w:rPr>
              <w:t>其他要求</w:t>
            </w:r>
          </w:p>
          <w:p>
            <w:pPr>
              <w:pStyle w:val="null3"/>
              <w:ind w:firstLine="480"/>
            </w:pPr>
            <w:r>
              <w:rPr>
                <w:rFonts w:ascii="宋体" w:hAnsi="宋体" w:cs="宋体" w:eastAsia="宋体"/>
                <w:sz w:val="24"/>
              </w:rPr>
              <w:t>1. 测评人员要求：本项目的测评人员需具有1年或1年以上测评工作经</w:t>
            </w:r>
            <w:r>
              <w:rPr>
                <w:rFonts w:ascii="宋体" w:hAnsi="宋体" w:cs="宋体" w:eastAsia="宋体"/>
                <w:sz w:val="24"/>
              </w:rPr>
              <w:t>验，</w:t>
            </w:r>
            <w:r>
              <w:rPr>
                <w:rFonts w:ascii="宋体" w:hAnsi="宋体" w:cs="宋体" w:eastAsia="宋体"/>
                <w:sz w:val="24"/>
              </w:rPr>
              <w:t>项目负责人、</w:t>
            </w:r>
            <w:r>
              <w:rPr>
                <w:rFonts w:ascii="宋体" w:hAnsi="宋体" w:cs="宋体" w:eastAsia="宋体"/>
                <w:sz w:val="24"/>
              </w:rPr>
              <w:t>项目经理和质量负责人必须具备丰富的安全服务经验及相关资质认证，并提供人员</w:t>
            </w:r>
            <w:r>
              <w:rPr>
                <w:rFonts w:ascii="宋体" w:hAnsi="宋体" w:cs="宋体" w:eastAsia="宋体"/>
                <w:sz w:val="24"/>
              </w:rPr>
              <w:t>管理及配备方案，并确保人员稳定。如需更换测评人员，须由采购单位同意。</w:t>
            </w:r>
          </w:p>
          <w:p>
            <w:pPr>
              <w:pStyle w:val="null3"/>
              <w:ind w:firstLine="480"/>
            </w:pPr>
            <w:r>
              <w:rPr>
                <w:rFonts w:ascii="宋体" w:hAnsi="宋体" w:cs="宋体" w:eastAsia="宋体"/>
                <w:sz w:val="24"/>
              </w:rPr>
              <w:t>2. 人员配备：投标方参与此项目不少于10人，其中现场测评人员不得少于</w:t>
            </w:r>
            <w:r>
              <w:rPr>
                <w:rFonts w:ascii="宋体" w:hAnsi="宋体" w:cs="宋体" w:eastAsia="宋体"/>
                <w:sz w:val="24"/>
              </w:rPr>
              <w:t>6</w:t>
            </w:r>
            <w:r>
              <w:rPr>
                <w:rFonts w:ascii="宋体" w:hAnsi="宋体" w:cs="宋体" w:eastAsia="宋体"/>
                <w:sz w:val="24"/>
              </w:rPr>
              <w:t>人</w:t>
            </w:r>
            <w:r>
              <w:rPr>
                <w:rFonts w:ascii="宋体" w:hAnsi="宋体" w:cs="宋体" w:eastAsia="宋体"/>
                <w:sz w:val="24"/>
              </w:rPr>
              <w:t>。</w:t>
            </w:r>
            <w:r>
              <w:rPr>
                <w:rFonts w:ascii="宋体" w:hAnsi="宋体" w:cs="宋体" w:eastAsia="宋体"/>
                <w:sz w:val="24"/>
              </w:rPr>
              <w:t>投标人必须为本项目成立本地化等级保护测评小组，由测评小组组长统一负责，测评小组组长具有一定的技术及管理知识和经验，能容易地与客户沟通，能很好的执行与完成测评工作，并根据适当情况增加测评人员。</w:t>
            </w:r>
          </w:p>
          <w:p>
            <w:pPr>
              <w:pStyle w:val="null3"/>
              <w:jc w:val="both"/>
            </w:pPr>
            <w:r>
              <w:rPr>
                <w:rFonts w:ascii="宋体" w:hAnsi="宋体" w:cs="宋体" w:eastAsia="宋体"/>
                <w:sz w:val="24"/>
              </w:rPr>
              <w:t>3. 投标人应按等级保护测评要求制定测评过程中产生的文档，做到科学、规范、详尽、统一。</w:t>
            </w:r>
          </w:p>
        </w:tc>
      </w:tr>
      <w:tr>
        <w:tc>
          <w:tcPr>
            <w:tcW w:type="dxa" w:w="2769"/>
          </w:tcPr>
          <w:p/>
        </w:tc>
        <w:tc>
          <w:tcPr>
            <w:tcW w:type="dxa" w:w="2769"/>
          </w:tcPr>
          <w:p>
            <w:pPr>
              <w:pStyle w:val="null3"/>
            </w:pPr>
            <w:r>
              <w:rPr/>
              <w:t>2</w:t>
            </w:r>
          </w:p>
        </w:tc>
        <w:tc>
          <w:tcPr>
            <w:tcW w:type="dxa" w:w="2769"/>
          </w:tcPr>
          <w:p>
            <w:pPr>
              <w:pStyle w:val="null3"/>
              <w:numPr>
                <w:ilvl w:val="0"/>
                <w:numId w:val="2"/>
              </w:numPr>
              <w:jc w:val="both"/>
            </w:pPr>
            <w:r>
              <w:rPr>
                <w:rFonts w:ascii="宋体" w:hAnsi="宋体" w:cs="宋体" w:eastAsia="宋体"/>
                <w:b/>
                <w:sz w:val="30"/>
              </w:rPr>
              <w:t>项目技术标准及要求</w:t>
            </w:r>
          </w:p>
          <w:p>
            <w:pPr>
              <w:pStyle w:val="null3"/>
              <w:numPr>
                <w:ilvl w:val="0"/>
                <w:numId w:val="2"/>
              </w:numPr>
              <w:spacing w:before="240" w:after="60"/>
              <w:ind w:left="240"/>
              <w:jc w:val="left"/>
            </w:pPr>
            <w:r>
              <w:rPr>
                <w:rFonts w:ascii="宋体" w:hAnsi="宋体" w:cs="宋体" w:eastAsia="宋体"/>
                <w:b/>
                <w:sz w:val="28"/>
              </w:rPr>
              <w:t>总体要求</w:t>
            </w:r>
          </w:p>
          <w:p>
            <w:pPr>
              <w:pStyle w:val="null3"/>
              <w:ind w:firstLine="480"/>
            </w:pPr>
            <w:r>
              <w:rPr>
                <w:rFonts w:ascii="宋体" w:hAnsi="宋体" w:cs="宋体" w:eastAsia="宋体"/>
                <w:sz w:val="24"/>
              </w:rPr>
              <w:t>根据国家《信息安全等级保护管理办法》</w:t>
            </w:r>
            <w:r>
              <w:rPr>
                <w:rFonts w:ascii="宋体" w:hAnsi="宋体" w:cs="宋体" w:eastAsia="宋体"/>
                <w:sz w:val="24"/>
              </w:rPr>
              <w:t>(公通字[2007]43号</w:t>
            </w:r>
            <w:r>
              <w:rPr>
                <w:rFonts w:ascii="宋体" w:hAnsi="宋体" w:cs="宋体" w:eastAsia="宋体"/>
                <w:sz w:val="24"/>
              </w:rPr>
              <w:t>)</w:t>
            </w:r>
            <w:r>
              <w:rPr>
                <w:rFonts w:ascii="宋体" w:hAnsi="宋体" w:cs="宋体" w:eastAsia="宋体"/>
                <w:sz w:val="24"/>
              </w:rPr>
              <w:t>与《信息安全技术</w:t>
            </w:r>
            <w:r>
              <w:rPr>
                <w:rFonts w:ascii="宋体" w:hAnsi="宋体" w:cs="宋体" w:eastAsia="宋体"/>
                <w:sz w:val="24"/>
              </w:rPr>
              <w:t xml:space="preserve"> </w:t>
            </w:r>
            <w:r>
              <w:rPr>
                <w:rFonts w:ascii="宋体" w:hAnsi="宋体" w:cs="宋体" w:eastAsia="宋体"/>
                <w:sz w:val="24"/>
              </w:rPr>
              <w:t>网络</w:t>
            </w:r>
            <w:r>
              <w:rPr>
                <w:rFonts w:ascii="宋体" w:hAnsi="宋体" w:cs="宋体" w:eastAsia="宋体"/>
                <w:sz w:val="24"/>
              </w:rPr>
              <w:t>安全等级保护基本要求》</w:t>
            </w:r>
            <w:r>
              <w:rPr>
                <w:rFonts w:ascii="宋体" w:hAnsi="宋体" w:cs="宋体" w:eastAsia="宋体"/>
                <w:sz w:val="24"/>
              </w:rPr>
              <w:t>GB/T22239-20</w:t>
            </w:r>
            <w:r>
              <w:rPr>
                <w:rFonts w:ascii="宋体" w:hAnsi="宋体" w:cs="宋体" w:eastAsia="宋体"/>
                <w:sz w:val="24"/>
              </w:rPr>
              <w:t>19</w:t>
            </w:r>
            <w:r>
              <w:rPr>
                <w:rFonts w:ascii="宋体" w:hAnsi="宋体" w:cs="宋体" w:eastAsia="宋体"/>
                <w:sz w:val="24"/>
              </w:rPr>
              <w:t>要求</w:t>
            </w:r>
            <w:r>
              <w:rPr>
                <w:rFonts w:ascii="宋体" w:hAnsi="宋体" w:cs="宋体" w:eastAsia="宋体"/>
                <w:sz w:val="24"/>
              </w:rPr>
              <w:t>，</w:t>
            </w:r>
            <w:r>
              <w:rPr>
                <w:rFonts w:ascii="宋体" w:hAnsi="宋体" w:cs="宋体" w:eastAsia="宋体"/>
                <w:sz w:val="24"/>
              </w:rPr>
              <w:t>等级测评</w:t>
            </w:r>
            <w:r>
              <w:rPr>
                <w:rFonts w:ascii="宋体" w:hAnsi="宋体" w:cs="宋体" w:eastAsia="宋体"/>
                <w:sz w:val="24"/>
              </w:rPr>
              <w:t>工作须</w:t>
            </w:r>
            <w:r>
              <w:rPr>
                <w:rFonts w:ascii="宋体" w:hAnsi="宋体" w:cs="宋体" w:eastAsia="宋体"/>
                <w:sz w:val="24"/>
              </w:rPr>
              <w:t>覆盖</w:t>
            </w:r>
            <w:r>
              <w:rPr>
                <w:rFonts w:ascii="宋体" w:hAnsi="宋体" w:cs="宋体" w:eastAsia="宋体"/>
                <w:color w:val="000000"/>
                <w:sz w:val="24"/>
              </w:rPr>
              <w:t>安全物理环境、安全通信网络、安全区域边界、安全计算环境、安全管理中心、安全管理制度、安全管理机构、安全管理人员、安全建设管理、安全运维管理</w:t>
            </w:r>
            <w:r>
              <w:rPr>
                <w:rFonts w:ascii="宋体" w:hAnsi="宋体" w:cs="宋体" w:eastAsia="宋体"/>
                <w:sz w:val="24"/>
              </w:rPr>
              <w:t>等方面的内容</w:t>
            </w:r>
            <w:r>
              <w:rPr>
                <w:rFonts w:ascii="宋体" w:hAnsi="宋体" w:cs="宋体" w:eastAsia="宋体"/>
                <w:sz w:val="24"/>
              </w:rPr>
              <w:t>，并根据现场实际情况完成风险分析工作</w:t>
            </w:r>
            <w:r>
              <w:rPr>
                <w:rFonts w:ascii="宋体" w:hAnsi="宋体" w:cs="宋体" w:eastAsia="宋体"/>
                <w:sz w:val="24"/>
              </w:rPr>
              <w:t>,</w:t>
            </w:r>
            <w:r>
              <w:rPr>
                <w:rFonts w:ascii="宋体" w:hAnsi="宋体" w:cs="宋体" w:eastAsia="宋体"/>
                <w:sz w:val="24"/>
              </w:rPr>
              <w:t>最终为完善等级保护安全防护体系提供指导依据。</w:t>
            </w:r>
          </w:p>
          <w:p>
            <w:pPr>
              <w:pStyle w:val="null3"/>
              <w:numPr>
                <w:ilvl w:val="0"/>
                <w:numId w:val="2"/>
              </w:numPr>
              <w:spacing w:before="240" w:after="60"/>
              <w:ind w:left="240"/>
              <w:jc w:val="left"/>
            </w:pPr>
            <w:r>
              <w:rPr>
                <w:rFonts w:ascii="宋体" w:hAnsi="宋体" w:cs="宋体" w:eastAsia="宋体"/>
                <w:b/>
                <w:sz w:val="28"/>
              </w:rPr>
              <w:t>第一阶段：等级保护</w:t>
            </w:r>
          </w:p>
          <w:p>
            <w:pPr>
              <w:pStyle w:val="null3"/>
              <w:ind w:firstLine="480"/>
              <w:jc w:val="both"/>
            </w:pPr>
            <w:r>
              <w:rPr>
                <w:rFonts w:ascii="宋体" w:hAnsi="宋体" w:cs="宋体" w:eastAsia="宋体"/>
                <w:color w:val="000000"/>
                <w:sz w:val="24"/>
              </w:rPr>
              <w:t>网络安全等级保护工作共分为五步，分别是：</w:t>
            </w:r>
            <w:r>
              <w:rPr>
                <w:rFonts w:ascii="宋体" w:hAnsi="宋体" w:cs="宋体" w:eastAsia="宋体"/>
                <w:color w:val="000000"/>
                <w:sz w:val="24"/>
              </w:rPr>
              <w:t>“定级、备案、建设整改、等级测评、监督检查”。该项目主要完成系统的安全测评工作，依据安全技术和安全管理两个方面的测评要求，分别从</w:t>
            </w:r>
            <w:r>
              <w:rPr>
                <w:rFonts w:ascii="宋体" w:hAnsi="宋体" w:cs="宋体" w:eastAsia="宋体"/>
                <w:color w:val="000000"/>
                <w:sz w:val="24"/>
              </w:rPr>
              <w:t>安全物理环境、安全通信网络、安全区域边界、安全计算环境、安全管理中心、安全管理制度、安全管理机构、安全管理人员、安全建设管理、安全运维管理</w:t>
            </w:r>
            <w:r>
              <w:rPr>
                <w:rFonts w:ascii="宋体" w:hAnsi="宋体" w:cs="宋体" w:eastAsia="宋体"/>
                <w:color w:val="000000"/>
                <w:sz w:val="24"/>
              </w:rPr>
              <w:t>十个安全类别进行安全测评。</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定级要求</w:t>
            </w:r>
          </w:p>
          <w:p>
            <w:pPr>
              <w:pStyle w:val="null3"/>
              <w:ind w:firstLine="573"/>
              <w:jc w:val="both"/>
            </w:pPr>
            <w:r>
              <w:rPr>
                <w:rFonts w:ascii="宋体" w:hAnsi="宋体" w:cs="宋体" w:eastAsia="宋体"/>
                <w:sz w:val="24"/>
              </w:rPr>
              <w:t>该项工作开展的主要依据是《网络安全等级保护定级指南》</w:t>
            </w:r>
            <w:r>
              <w:rPr>
                <w:rFonts w:ascii="宋体" w:hAnsi="宋体" w:cs="宋体" w:eastAsia="宋体"/>
                <w:sz w:val="24"/>
              </w:rPr>
              <w:t>（</w:t>
            </w:r>
            <w:r>
              <w:rPr>
                <w:rFonts w:ascii="times new roman, times, serif" w:hAnsi="times new roman, times, serif" w:cs="times new roman, times, serif" w:eastAsia="times new roman, times, serif"/>
                <w:sz w:val="24"/>
              </w:rPr>
              <w:t xml:space="preserve">GB/T </w:t>
            </w:r>
            <w:r>
              <w:rPr>
                <w:rFonts w:ascii="&quot;times new roman&quot;" w:hAnsi="&quot;times new roman&quot;" w:cs="&quot;times new roman&quot;" w:eastAsia="&quot;times new roman&quot;"/>
                <w:sz w:val="24"/>
              </w:rPr>
              <w:t>22240-2020</w:t>
            </w:r>
            <w:r>
              <w:rPr>
                <w:rFonts w:ascii="宋体" w:hAnsi="宋体" w:cs="宋体" w:eastAsia="宋体"/>
                <w:sz w:val="24"/>
              </w:rPr>
              <w:t>）</w:t>
            </w:r>
            <w:r>
              <w:rPr>
                <w:rFonts w:ascii="宋体" w:hAnsi="宋体" w:cs="宋体" w:eastAsia="宋体"/>
                <w:sz w:val="24"/>
              </w:rPr>
              <w:t>确定系统等级。</w:t>
            </w:r>
          </w:p>
          <w:p>
            <w:pPr>
              <w:pStyle w:val="null3"/>
              <w:ind w:firstLine="480"/>
              <w:jc w:val="both"/>
            </w:pPr>
            <w:r>
              <w:rPr>
                <w:rFonts w:ascii="宋体" w:hAnsi="宋体" w:cs="宋体" w:eastAsia="宋体"/>
                <w:sz w:val="24"/>
              </w:rPr>
              <w:t>2.备案</w:t>
            </w:r>
          </w:p>
          <w:p>
            <w:pPr>
              <w:pStyle w:val="null3"/>
              <w:ind w:firstLine="480"/>
              <w:jc w:val="both"/>
            </w:pPr>
            <w:r>
              <w:rPr>
                <w:rFonts w:ascii="宋体" w:hAnsi="宋体" w:cs="宋体" w:eastAsia="宋体"/>
                <w:sz w:val="24"/>
              </w:rPr>
              <w:t>信息系统的安全保护等级确定后，二级以上（含二级）信息系统的运营使用单位或主管部门应到属地公安机关办理备案手续。按照国家政策要求，跨省或者全国统一联网运行的信息系统在各地运行、应用的分支系统，向当地设区的市级以上公安机关备案。该项目系统应向归属地网络安全监察支队申请重要信息系统备案。</w:t>
            </w:r>
          </w:p>
          <w:p>
            <w:pPr>
              <w:pStyle w:val="null3"/>
              <w:ind w:firstLine="480"/>
              <w:jc w:val="both"/>
            </w:pPr>
            <w:r>
              <w:rPr>
                <w:rFonts w:ascii="宋体" w:hAnsi="宋体" w:cs="宋体" w:eastAsia="宋体"/>
                <w:sz w:val="24"/>
              </w:rPr>
              <w:t>完成备案的信息系统，将获得公安机关颁发的《信息系统安全等级保护备案证明》。</w:t>
            </w:r>
          </w:p>
          <w:p>
            <w:pPr>
              <w:pStyle w:val="null3"/>
              <w:ind w:firstLine="482"/>
              <w:jc w:val="both"/>
            </w:pPr>
            <w:r>
              <w:rPr>
                <w:rFonts w:ascii="宋体" w:hAnsi="宋体" w:cs="宋体" w:eastAsia="宋体"/>
                <w:b/>
                <w:color w:val="000000"/>
                <w:sz w:val="24"/>
              </w:rPr>
              <w:t>3.等级保护测评要求</w:t>
            </w:r>
          </w:p>
          <w:p>
            <w:pPr>
              <w:pStyle w:val="null3"/>
              <w:ind w:firstLine="480"/>
            </w:pPr>
            <w:r>
              <w:rPr>
                <w:rFonts w:ascii="宋体" w:hAnsi="宋体" w:cs="宋体" w:eastAsia="宋体"/>
                <w:sz w:val="24"/>
              </w:rPr>
              <w:t>服务商在测评过程中要求按照《计算机信息系统安全保护等级划分准则》（</w:t>
            </w:r>
            <w:r>
              <w:rPr>
                <w:rFonts w:ascii="宋体" w:hAnsi="宋体" w:cs="宋体" w:eastAsia="宋体"/>
                <w:sz w:val="24"/>
              </w:rPr>
              <w:t>GB17859-1999）、《信息安全技术 网络安全等级保护实施指南》（GB/T25058-201</w:t>
            </w:r>
            <w:r>
              <w:rPr>
                <w:rFonts w:ascii="宋体" w:hAnsi="宋体" w:cs="宋体" w:eastAsia="宋体"/>
                <w:sz w:val="24"/>
              </w:rPr>
              <w:t>9</w:t>
            </w:r>
            <w:r>
              <w:rPr>
                <w:rFonts w:ascii="宋体" w:hAnsi="宋体" w:cs="宋体" w:eastAsia="宋体"/>
                <w:sz w:val="24"/>
              </w:rPr>
              <w:t>）、《信息安全技术</w:t>
            </w:r>
            <w:r>
              <w:rPr>
                <w:rFonts w:ascii="宋体" w:hAnsi="宋体" w:cs="宋体" w:eastAsia="宋体"/>
                <w:sz w:val="24"/>
              </w:rPr>
              <w:t>网络安全等级保护基本要求》（</w:t>
            </w:r>
            <w:r>
              <w:rPr>
                <w:rFonts w:ascii="宋体" w:hAnsi="宋体" w:cs="宋体" w:eastAsia="宋体"/>
                <w:sz w:val="24"/>
              </w:rPr>
              <w:t>GB/T22239-2019）、《信息安全技术 网络安全等级保护测评要求》（GB/T2</w:t>
            </w:r>
            <w:r>
              <w:rPr>
                <w:rFonts w:ascii="宋体" w:hAnsi="宋体" w:cs="宋体" w:eastAsia="宋体"/>
                <w:sz w:val="24"/>
              </w:rPr>
              <w:t>8448</w:t>
            </w:r>
            <w:r>
              <w:rPr>
                <w:rFonts w:ascii="宋体" w:hAnsi="宋体" w:cs="宋体" w:eastAsia="宋体"/>
                <w:sz w:val="24"/>
              </w:rPr>
              <w:t>-2019）、《信息安全技术 网络安全等级保护测评过程指南》（GB/T28449-2018）等相关的标准规范开展等级测评工作，对系统的</w:t>
            </w:r>
            <w:r>
              <w:rPr>
                <w:rFonts w:ascii="宋体" w:hAnsi="宋体" w:cs="宋体" w:eastAsia="宋体"/>
                <w:color w:val="000000"/>
                <w:sz w:val="24"/>
              </w:rPr>
              <w:t>安全物理环境、安全通信网络、安全区域边界、安全计算环境、安全管理中心、安全管理制度、安全管理机构、安全管理人员、安全建设管理、安全运维管理</w:t>
            </w:r>
            <w:r>
              <w:rPr>
                <w:rFonts w:ascii="宋体" w:hAnsi="宋体" w:cs="宋体" w:eastAsia="宋体"/>
                <w:sz w:val="24"/>
              </w:rPr>
              <w:t>共</w:t>
            </w:r>
            <w:r>
              <w:rPr>
                <w:rFonts w:ascii="宋体" w:hAnsi="宋体" w:cs="宋体" w:eastAsia="宋体"/>
                <w:sz w:val="24"/>
              </w:rPr>
              <w:t>10个层面进行安全等级保护测评。测评指标如下：</w:t>
            </w:r>
          </w:p>
          <w:p>
            <w:pPr>
              <w:pStyle w:val="null3"/>
              <w:spacing w:before="255" w:after="255"/>
              <w:jc w:val="center"/>
              <w:outlineLvl w:val="2"/>
            </w:pPr>
            <w:r>
              <w:rPr>
                <w:rFonts w:ascii="宋体" w:hAnsi="宋体" w:cs="宋体" w:eastAsia="宋体"/>
                <w:b/>
                <w:sz w:val="32"/>
              </w:rPr>
              <w:t>等级保护技术要求（三级）</w:t>
            </w:r>
          </w:p>
          <w:tbl>
            <w:tblPr>
              <w:tblBorders>
                <w:top w:val="none" w:color="000000" w:sz="4"/>
                <w:left w:val="none" w:color="000000" w:sz="4"/>
                <w:bottom w:val="none" w:color="000000" w:sz="4"/>
                <w:right w:val="none" w:color="000000" w:sz="4"/>
                <w:insideH w:val="none"/>
                <w:insideV w:val="none"/>
              </w:tblBorders>
            </w:tblPr>
            <w:tblGrid>
              <w:gridCol w:w="387"/>
              <w:gridCol w:w="395"/>
              <w:gridCol w:w="1713"/>
            </w:tblGrid>
            <w:tr>
              <w:tc>
                <w:tcPr>
                  <w:tcW w:type="dxa" w:w="387"/>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安全层面</w:t>
                  </w:r>
                </w:p>
              </w:tc>
              <w:tc>
                <w:tcPr>
                  <w:tcW w:type="dxa" w:w="395"/>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安全控制点</w:t>
                  </w:r>
                </w:p>
              </w:tc>
              <w:tc>
                <w:tcPr>
                  <w:tcW w:type="dxa" w:w="1713"/>
                  <w:tcBorders>
                    <w:top w:val="sing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b/>
                      <w:color w:val="000000"/>
                      <w:sz w:val="21"/>
                    </w:rPr>
                    <w:t>测评指标</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安全物理环境</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物理位置选择</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a)机房场地应选择在具有防震、防风和防雨等能力的建筑内；</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b)机房场地应避免设在建筑物的高层或地下室，否则应加强防水和防潮措施。</w:t>
                  </w:r>
                </w:p>
              </w:tc>
            </w:tr>
            <w:tr>
              <w:tc>
                <w:tcPr>
                  <w:tcW w:type="dxa" w:w="387"/>
                  <w:vMerge/>
                  <w:tcBorders>
                    <w:top w:val="none" w:color="000000" w:sz="4"/>
                    <w:left w:val="singl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物理访问控制</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a)机房出入口应配置电子门禁系统，控制、鉴别和记录进入的人员。</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防盗窃和防破坏</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a)应将设备或主要部件进行固定，并设置明显的不易除去的标识；</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b)应将通信线缆铺设在隐蔽安全处；</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c)应设置机房防盗报警系统或设置有专人值守的视频监控系统。</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防雷击</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a)应将各类机柜、设施和设备等通过接地系统安全接地；</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b)应采取措施防止感应雷，例如设置防雷保安器或过压保护装置等。</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防火</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a)机房应设置火灾自动消防系统，能够自动检测火情、自动报警，并自动灭火；</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b)机房及相关的工作房间和辅助房应采用具有耐火等级的建筑材料；</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c)应对机房划分区域进行管理，区域和区域之间设置隔离防火措施。</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防水防潮</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a)应采取措施防止雨水通过机房窗户、屋顶和墙壁渗透；</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b)应采取措施防止机房内水蒸气结露和地下积水的转移与渗透；</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c)应安装对水敏感的检测仪表或元件，对机房进行防水检测和报警。</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防静电</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a)应采用防静电地板或地面并采用必要的接地防静电措施；</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b)应采取措施防止静电的产生，例如采用静电消除器、佩戴防静电手环等。</w:t>
                  </w:r>
                </w:p>
              </w:tc>
            </w:tr>
            <w:tr>
              <w:tc>
                <w:tcPr>
                  <w:tcW w:type="dxa" w:w="387"/>
                  <w:vMerge/>
                  <w:tcBorders>
                    <w:top w:val="none" w:color="000000" w:sz="4"/>
                    <w:left w:val="singl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温湿度控制</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a)应设置温湿度自动调节设施，使机房温湿度的变化在设备运行所允许的范围之内。</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电力供应</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a)应在机房供电线路上配置稳压器和过电压防护设备；</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b)应提供短期的备用电力供应，至少满足设备在断电情况下的正常运行要求；</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c)应设置冗余或并行的电力电缆线路为计算机系统供电。</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电磁防护</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a)电源线和通信线缆应隔离铺设，避免互相干扰；</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b)应对关键设备实施电磁屏蔽。</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安全通信网络</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网络架构</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a)应保证网络设备的业务处理能力满足业务高峰期需要；</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b)应保证网络各个部分的带宽满足业务高峰期需要；</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c)应划分不同的网络区域，并按照方便管理和控制的原则为各网络区域分配地址；</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d)应避免将重要网络区域部署在边界处，重要网络区域与其他网络区域之间应采取可靠的技术隔离手段；</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e)应提供通信线路、关键网络设备和关键计算设备的硬件冗余，保证系统的可用性。</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通信传输</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a)应采用校验技术或密码技术保证通信过程中数据的完整性；</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b)应采用密码技术保证通信过程中数据的保密性。</w:t>
                  </w:r>
                </w:p>
              </w:tc>
            </w:tr>
            <w:tr>
              <w:tc>
                <w:tcPr>
                  <w:tcW w:type="dxa" w:w="387"/>
                  <w:vMerge/>
                  <w:tcBorders>
                    <w:top w:val="none" w:color="000000" w:sz="4"/>
                    <w:left w:val="singl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可信验证</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可基于可信根对通信设备的系统引导程序、系统程序、重要配置参数和通信应用程序等进行可信验证，并在应用程序的关键执行环节进行动态可信验证，在监测到其可信性受到破坏后进行报警，并将验证结果形成审计记录送至安全管理中心。</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安全区域边界</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边界防护</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a)应保证跨越边界的访问和数据流通过边界设备提供的受控接口进行通信；</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b)应能够对非授权设备私自联到内部网络的行为进行检测或限制；</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c)应能够对内部用户非授权联到外部网络的行为进行检查或限制；</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d)应限制无线网络的使用，保证无线网络通过受控的边界设备接入内部网络。</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访问控制</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a)应在网络边界或区域之间根据访问控制策略设置访问控制规则，默认情况下除允许通信外受控接口拒绝所有通信；</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b)应删除多余或无效的控制规则，优化访问控制列表，并保证访问控制规则数量最小化；</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c)应对源地址、目的地址、源端口、目的端口和协议等进行检查，以允许/拒绝数据包进出；</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d)应能根据会话状态信息为进出数据流提供明确的允许/拒绝访问的能力；</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e)应对进出网络的数据流实现基于应用协议和应用内容的访问控制。</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入侵防范</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a)应在关键网络节点处检测、防止或限制从外部发起的网络攻击行为；</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b)应在关键网络节点处检测、防止或限制从内部发起的网络攻击行为；</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c)应采取技术措施对网络行为进行分析，实现对网络攻击特别是新型网络攻击行为的分析；</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d)当检测到攻击行为时，记录攻击源IP、攻击类型、攻击目的、攻击时间，在发生严重入侵事件时应提供报警。</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恶意代码和垃圾邮件防范</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a)应在关键网络节点处对恶意代码进行检测和清除，并维护恶意代码防护机制的升级和更新；</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b)应在关键网络节点处对垃圾邮件进行检测和防护，并维护垃圾邮件防护机制的升级和更新。</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安全审计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a)应在网络边界，重要网络节点进行安全审计，审计覆盖到每个用户，对重要的用户行为和重要安全事件进行审计；</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b)审计记录应包括事件的日期、用户、事件类型、事件是否成功及其他与审计相关的信息；</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c)应对审计记录进行保护，定期备份，避免受到未预期的删除、修改或覆盖等；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d)应能对远程访问的用户行为、访问互联网的用户行为等单独进行行为审计和数据分析。</w:t>
                  </w:r>
                </w:p>
              </w:tc>
            </w:tr>
            <w:tr>
              <w:tc>
                <w:tcPr>
                  <w:tcW w:type="dxa" w:w="387"/>
                  <w:vMerge/>
                  <w:tcBorders>
                    <w:top w:val="none" w:color="000000" w:sz="4"/>
                    <w:left w:val="singl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可信验证</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可基于可信根对边界设备的系统引导程序、系统程序、重要配置参数和边界防护应用程序等进行可信验证，并在应用程序的关键执行环节进行动态可信验证，在检测到其可信性受到破坏后进行报警，并将验证结果形成审计记录送至安全管理中心。</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安全计算环境</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身份鉴别</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a)应对登录的用户进行身份标识和鉴别，身份标识具有唯一性，身份鉴别信息具有复杂度要求并定期更换；</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b)应启用登陆失败处理功能，应配置并启用结束会话、限制非法登录次数和当登录连接超时时自动退出等相关措施；</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c)当进行远程管理时，应采取必要措施防止鉴别信息在网络传输过程中被窃听；</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d)应采用口令、密码技术、生物技术等两种或两种以上组合的鉴别技术对用户进行身份鉴别，且其中一种鉴别技术至少应使用密码技术实现。</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访问控制</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a)应对登录的用户分配账户和权限；</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b)应重命名或删除默认账户，修改默认账户的默认口令；</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c)应及时删除或停用多余的，过期的账户，避免共享账户的存在；</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d)应授予管理用户所需的最小权限，实现管理用户的权限分离；</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e）应由授权主体配置访问控制策略，访问控制策略规定主体对客体的访问规则；</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f)访问控制的粒度应达到主体为用户级或进程级，客体为文件、数据库表级；</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g)应对重要主体和客体设置安全标记，并控制主体对有安全标记信息资源的访问。</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安全审计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a)应启用安全审计功能，审计覆盖到每个用户，对重要的用户行为和重要安全事件进行审计；</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b)审计记录应包括事件的日期、时间、事件类型、事件是否成功及其他与审计相关的工作；</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c)应对审计记录进行保护，定期备份、避免受到未预期的删除、修改或覆盖等；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d)应对审计进程进行保护，防止未经授权的中断。</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入侵防范</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a)应遵循最小安装的原则，仅安装需要的组件和应用程序；</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b)应关闭不需要的系统服务、默认共享和高危端口；</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c)应通过设定终端接入方式或网络地址范围对通过网络进行管理的管理终端进行限制；</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d）应提供数据有效性检验功能，保证通过人机接口输入或通过通信接口输入的内容符合系统设定要求。</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e)应能发现可能存在的已知漏洞，并在经过充分测试评估后，及时修补漏洞；</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f)应能检测到对重要节点进行入侵的行为，并在发生严重入侵事件时提供报警。</w:t>
                  </w:r>
                </w:p>
              </w:tc>
            </w:tr>
            <w:tr>
              <w:tc>
                <w:tcPr>
                  <w:tcW w:type="dxa" w:w="387"/>
                  <w:vMerge/>
                  <w:tcBorders>
                    <w:top w:val="none" w:color="000000" w:sz="4"/>
                    <w:left w:val="singl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恶意代码防范</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a)应采用免受恶意代码攻击的技术措施，或主动免疫可信验证机制及时识别入侵和病毒行为，并将其有效阻断。</w:t>
                  </w:r>
                </w:p>
              </w:tc>
            </w:tr>
            <w:tr>
              <w:tc>
                <w:tcPr>
                  <w:tcW w:type="dxa" w:w="387"/>
                  <w:vMerge/>
                  <w:tcBorders>
                    <w:top w:val="none" w:color="000000" w:sz="4"/>
                    <w:left w:val="singl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可信验证</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可基于可信根对计算设备的系统引导程序、系统程序、重要配置参数和通信应用程序等进行可信验证，并在应用程序的关键执行环节进行动态可信验证，在检测到其可信性受到破坏后进行报警，并将验证结果形成审计记录送至安全管理中心。</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数据完整性</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a)应采用校验技术或密码技术保证重要数据在传输过程中的完整性，包括但不限于数据鉴别、重要业务数据、重要审计数据、重要配置数据、重要视频数据和重要个人信息等；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b)应采用校验技术或密码技术保证重要数据在存储过程中的完整性，包括但不限于数据鉴别、重要业务数据、重要审计数据、重要配置数据、重要视频数据和重要个人信息等。</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数据保密性</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a)应采用密码技术保证重要数据在传输过程中的保密性，包括但不限于数据鉴别、重要业务数据和重要个人信息等；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b)应采用密码技术保证重要数据在存储过程中的保密性，包括但不限于数据鉴别、重要业务数据和重要个人信息等。</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数据备份和恢复</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a)应提供重要数据的本地数据备份与恢复功能；</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b)应提供异地实时备份功能，利用通信网络将重要数据实时备份至备用场地；</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c)应提供重要数据处理系统的热冗余，保证系统的高可用性。</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剩余信息保护</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a)应保证鉴别信息所在的存储空间被释放或重新分配前得到完全清除；</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b)应保证存有敏感数据的存储空间被释放或重新分配前得到完全清除。</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个人信息保护</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a)应仅采集和保存业务必需的用户个人信息；</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b)应禁止未授权访问和非法使用用户个人信息。</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安全管理中心</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系统管理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a)应对系统管理员进行身份鉴别，只允许其通过特定的命令或操作界面进行系统管理操作，并对这些操作进行审计；</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b）应通过系统管理员对系统的资源和运行进行配置、控制和管理，包括用户身份，系统资源配置、系统加载和启动、系统运行的异常处理、数据和设备的备份与恢复等。</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审计管理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a)应对审计管理员进行身份鉴别，只允许其通过特定的命令或操作界面进行安全审计操作，并对这些操作进行审计；</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b)应通过审计管理员对审计记录进行分析，并根据分析结果进行处理，包括根据安全审计策略对审计记录进行存储、管理和查询。</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a)应对安全管理员进行身份鉴别，只允许通过特定的命令或操作界面进行安全管理操作，并对这些操作进行审计；</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b)应通过安全管理员对系统中的安全策略进行配置，包括安全参数的设置，主体，客体进行统一安全标识，对主体进行授权，配置安全可信验证策略等。</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集中管控</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a)应划分特定的管理区域，对分布在网络中的安全设备或安全组件进行管控；</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b)应能够建立一条安全的信息传输路径，对网络中的安全设备或安全组件进行管理；</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c）应对网络链路、安全设备、网络设备和服务器等的运行状况进行集中监测；</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d)应对分散在各个设备上的审计数据进行收集汇总和集中分析，并保证审计记录的留存时间符合法律法规要求；</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e）应对安全策略、安全代码、补丁升级等安全事项进行集中管理；</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f）应能对网络中发生的各类安全事件进行识别报警和分析。</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安全管理制度</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安全策略</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a）应制定网络安全工作的总体方针和安全策略，阐明机构安全工作的总体目标、范围、原则和安全框架等。</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管理制度</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a）应对安全管理活动中的各类管理内容建立安全管理制度;</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b）应对要求管理人员或操作人员执行的日常管理操作建立操作规程;</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c）应形成由安全策略，管理制度，操作规程，记录表单等构成安全管理制度体系。</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制定和发布</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a）应指定或授权专门的部门或人员负责安全管理制度的制定;</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b）安全管理制度应通过正式、有效的方式发布，并进行版本控制.</w:t>
                  </w:r>
                </w:p>
              </w:tc>
            </w:tr>
            <w:tr>
              <w:tc>
                <w:tcPr>
                  <w:tcW w:type="dxa" w:w="387"/>
                  <w:vMerge/>
                  <w:tcBorders>
                    <w:top w:val="none" w:color="000000" w:sz="4"/>
                    <w:left w:val="single" w:color="000000" w:sz="4"/>
                    <w:bottom w:val="single" w:color="000000" w:sz="4"/>
                    <w:right w:val="single" w:color="000000" w:sz="4"/>
                  </w:tcBorders>
                </w:tcP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评审和修订</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a）应定期对安全管理制度的合理性和适用性进行论证和审定，对存在不足或需要改进的安全管理制度进行修订。</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安全管理机构</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岗位设置</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a）应成立指导和管理网络安全工作的委员会或领导小组，其最高领导由单位主管领导担任或授权 ；</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b）应设立网络安全管理工作的职能部门，设立安全主管、安全管理各个方面的负责人岗位，并定义各负责人的职责；</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c）应设立系统管理员、审计管理员、安全管理员等岗位，并定义部门及各个工作岗位的职责。</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人员配备</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a）应配备一定数量的系统管理员、审计管理员、安全管理员等；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b）应配备专职的安全管理员，不可兼任。</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授权和审批</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a）应根据各个部门和岗位的职责明确授权审批事项、审批部门和批准人等；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b）应针对系统变更、重要操作、物理访问和系统接入等事项建立审批程序，按照审批程序执行审批过程，对重要活动建立逐级审批制度；</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c）应定期审查审批事项，及时更新授权和审批的项目、审批部门和审批人等信息。</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沟通和合作</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a）应加强各类管理人员、组织内部机构和网络安全管理部门之间的合作与沟通，定期召开协调会议，共同协作处理网络安全问题。；</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b）应加强与网络安全职能部门、各类供应商、业界专家及安全组织的合作与沟通；</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c）应建立外联单位联系列表，包括外联单位名称、合作内容、联系人和联系方式等信息。</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审核和检查</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a）应定期进行常规安全检查，检查内容包括系统日常运行、系统漏洞和数据备份等情况；</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b）应定期进行全面安全检查，检查内容包括现有安全技术措施的有效性、安全配置和安全策略的一致性，安全管理制度的执行情况等；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c）应制定安全检查表格实施安全检查，汇总安全检查数据，形成安全检查报告，并对安全检查结果进行通报。</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安全管理人员</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人员录用</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a）应指定或授权专门的部门或人员负责人员录用;</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b）应对被录用人的身份、安全背景、专业资格或资质等进行审查，对其所有的技术技能进行考核；</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c）应与被录用人员签署保密协议，与关键岗位人员签署岗位责任协议。</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人员离岗</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a）应及时终止离岗人员的所有访问权限，取回各种身份证件、钥匙、徽章等以及机构提供的软硬件设备；</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b）应办理严格的调离手续，并承诺调离后的保密义务方可离开。</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安全意识教育和培训</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a）应对各类人员进行安全意识教育和岗位技能培训，并告知相关的安全责任和惩戒措施；</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b）应针对不同岗位制定不同的培训计划，对安全基础知识，岗位操作规程等进行培训；</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c）应定期对不同岗位的人员进行技能考核。</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外部人员访问</w:t>
                  </w:r>
                  <w:r>
                    <w:br/>
                  </w:r>
                  <w:r>
                    <w:rPr>
                      <w:rFonts w:ascii="宋体" w:hAnsi="宋体" w:cs="宋体" w:eastAsia="宋体"/>
                      <w:color w:val="000000"/>
                      <w:sz w:val="21"/>
                    </w:rPr>
                    <w:t>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a）应在外部人员物理访问受控区域前先提出书面申请，批准后由专人全程陪同，并登记备案；</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b）应在外部人员接入受控网络访问系统前先提出书面申请，批准后由专人开设账户，分配权限，并登记备案；</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c）外部人员离场后应及时清除其所有的访问权限；</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d）获得系统访问授权的外部人员签署保密协议，不得进行非授权操作，不得复制和泄露敏感信息。</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安全建设管理</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定级和备案</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a）应以书面的形式说明保护对象的安全保护等级及确定安全保护等级的方法和理由；</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b）应组织相关部门和有关安全技术专家对定级结果的合理性和正确性进行论证和审定；</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c）应保证定级结果经过相关部门的批准；</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d)应将备案材料报主管部门和相应公安机关备案</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安全方案设计</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a）应根据安全保护等级选择基本安全措施，依据风险分析的结果补充和调整安全措施；</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b）应根据保护对象的安全保护等级及与其他级别对象的关系进行安全整体规划和安全方案设计，设计内容应包含密码技术相关内容、并形成配套文件；</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c）应组织相关部门和有关安全技术专家对整体安全规划及其配套文件的合理性和正确性进行论证和审定，经过批准后才能正式实施。</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产品采购和使用</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a）应确保网络安全产品采购和使用符合国家的有关规定；</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b）应确保密码产品与服务的采购和使用符合国家密码管理主管部门的要求；</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c)应预先对产品进行选型测试，确定产品的候选范围，并定期审定和更新产品候选名单。</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自行软件开发</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a）应将开发环境与实际运行环境物理分开，测试数据和测试结果受到控制；</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b）应制定软件开发管理制度，明确说明开发过程的控制方法和人员行为准则；</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c）应制定代码编写安全规范，要求开发人员参照规范编写代码；</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d）应具备软件设计的相关文档和使用指南，并对文档使用进行控制；</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e）应保证在软件开发过程中对安全性进行测试，在软件安装前对可能存在的恶意代码进行检测；</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f）应对程序资源库的修改、更新，发布进行授权和批准，并严格进行版本控制；</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g）应保证开发人员为专职人员，开发人员的开发活动受到控制，监视和审查。</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外包软件开发</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a）应在软件交付前检测其中可能存在的恶意代码；</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b）应保证开发单位提供软件设计文档和使用指南；</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c）应保证开发单位提供软件源代码，并审查软件中可能存在的后面和隐蔽信道。</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工程实施</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a）应指定或授权专门的部门或人员负责工程实施过程的管理；</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b）应制定安全工程实施方案控制实施过程；</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c）应通过第三方工程监理控制项目的实施过程。</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测试验收</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a）应制订测试验收方案，并依据测试验收方案实施测试验收，形成测试验收报告；</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b）应进行上线前的安全性测试，并出具安全测试报告，安全测试报告应包含密码应用安全性安全测试内容。</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系统交付</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a）应制定交付清单，并根据交付清单对所交接的设备、软件和文档等进行清点；</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b）应对负责系统运行维护的技术人员进行相应的技能培训；</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c）应提供建设过程文档和运行维护文档。</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等级测评</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a）应定期进行等级测评，发现不符合相应等级保护标准要求的及时整改；</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b）在发生重大变化或级别发生时进行等级测评；</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c）应确保测评机构的选择符合国家相关规定。</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服务供应商管理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a）应确保服务供应商的选择符合国家的有关规定；</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b）应与选定的服务商签订相关协议，明确整个服务供应链各方需履行的网络安全相关义务；</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c）应定期监督、评审和审核服务供应商提供的服务，并对其变更服务进行控制。</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安全运维管理</w:t>
                  </w: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环境管理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a）应指定专门的部门或人员负责机房安全，对机房出入进行管理，定期对机房供配电、空调、温湿度控制、消防等设施进行维护管理；</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b）应建立机房安全管理制度，对有关物理访问，物品带进带出和环境安全等方面的管理作出规定；</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c）应不在重要区域接待来访人员，不随意放置包含敏感信息的纸质文件和移动介质。</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资产管理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a）应编制并保存与信息系统相关的资产清单，包括资产责任部门、重要程度和所处位置等内容；</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b）应根据资产的重要程度对资产进行标识管理，根据资产的价值选择相应的管理措施；</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c）应对信息分类与标识方法做出规定，并对信息的使用，传输和存储等进行规范化管理。</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介质管理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a）应将介质存放在安全的环境中，对各类介质进行控制和保护，实行存储环境专人管理并根据存档介质的目录清单定期盘点；</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b）应对介质在物理传输过程中的人员选择、打包、交付等情况进行控制，并对介质归档和查询等进行登记记录。</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设备维护管理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a）应对各种设备（包括备份和冗余设备）、线路等指定专门的部门或人员定期进行维护管理；</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b）应建立配套设施、软硬件维护方面的管理制度，对其维护进行有效的管理，包括明确维护人员的责任、维修和服务的审批、维修过程的监督控制等；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c）信息处理设备应经过审批才能带离机房或办公地点，含有储存介质的设备带出工作环境时其重要数据应加密；</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d）含有存储介质的设备在报废或重用前，应进行完全清除或完全覆盖，保证该设备上的敏感数据和授权软件无法被恢复重用。</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漏洞和风险管理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a）应采取必要的措施识别安全漏洞和隐患，对发现的安全漏洞和隐患及时进行修补或评估可能的影响后进行修补；</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b)应定期开展安全测评，形成安全测评报告，采取措施应对发现的安全问题。</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网络和系统安全管理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a）应划分不同的管理员角色进行网络和系统的运维管理，明确各个角色的责任和权限；</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b）应指定专门的部门或人员进行账户管理，对申请账户，建立账户、删除账户等进行控制；</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c）应建立网络和系统安全管理制度，对安全策略、账户管理、配置管理、日志管理、日常操作、升级与打补丁、口令更新周期等方面作出规定；</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d）应制定重要设备的配置和操作手册，依据手册对设备进行安全配置和优化配置等；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e）应详细记录运维操作日志，包括日常巡检工作，运行维护记录、参数的设置和修改的内容；</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f）应指定专门的部门或人员对日志、监测和报警数据等进行分析、统计，及时发现可疑行为；</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g）应严格控制变更性运维，经过审批后才可改变连接，安装系统组件或调整配置参数，操作过程中应保留不可更改的审计日志，操作结束后应同步配置更新配置信息库；</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H）应严格控制运维工具的使用，经过审批后才可接入进行操作，操作过程中应保留不可更改的审计日志，操作结束后应删除工具中的敏感数据；</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i）应严格控制远程运维的开通，经过审批后才可开通远程运维接口或通道，操作过程中应保留不可更改的审计日志，操作结束后立即关闭接口或通道；</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j）应保证所有与外部的连接均得到授权和批准，应定期检查违反规定无线上网及其他违反网络安全策略行为。</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恶意代码防范管理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a）应提高所有用户的防恶意代码意识，对外来计算机或存储设备接入系统前进行恶意代码检查等；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b）应定期验证防范恶意代码攻击的技术措施的有效性。</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配置管理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a）应记录和保存基本配置信息，包括网络拓扑结构、各类设备安装的软件组件、软件组件的版本和补丁信息、各个设备或软件组件的配置参数等；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b)应将基本信息改变纳入变更范畴，实施对配置信息改变的控制，并及时更新基本配置信息库。</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密码管理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a）应遵循密码相关国家标准和行业标准；</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b）应使用国家密码管理主管部门认证核准的密码技术和产品。</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变更管理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a）应明确变更需求，变更前根据变更需求制定变更方案、变更方案经过评审、审批后方可实施；</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b）应建立变更的申报和审批控制程序，依据程序控制所有的变更，记录变更实施过程；</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c）应建立终止变更并从失败的变更中恢复的程序，明确过程控制方法和人员职责，必要时对恢复过程进行演练。</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备份与恢复管理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a）应识别需要定期备份的重要业务信息、系统数据及软件系统等；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b）应规定备份信息的备份方式、备份频度、存储介质和保存期等；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c）应根据数据的重要性和数据对系统运行的影响，制定数据的备份策略和恢复策略，备份程序和恢复程序等。</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安全事件处置</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a）应及时向安全管理部门报告所发现的安全弱点和可疑事件；</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b）应制定安全事件报告和处置管理制度，明确不同安全事件的报告、处置和响应流程，规定安全事件的现场处理、事件报告和后期恢复的管理职责等；</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c）应在安全事件和响应处理过程中，分析和鉴定事件产生的原因，收集证据，记录处理过程，总结经验教训；</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d）对造成系统中断和造成信息泄露的重大安全事件应采用不同的处理程序和报告程序。</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应急预案管理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a)应规定统一的应急预案框架，包括启动预案的条件，应急组织构成，应急资源保障，事后教育和培训等内容；</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b）应制定重要事件的应急预案，包括应急处理流程、系统恢复流程等内容；</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c）应定期对系统相关的人员进行应急预案培训，并进行应急预案的演练；</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d)应定期对原有的应急预案重新评估，修订完善。</w:t>
                  </w:r>
                </w:p>
              </w:tc>
            </w:tr>
            <w:tr>
              <w:tc>
                <w:tcPr>
                  <w:tcW w:type="dxa" w:w="387"/>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1"/>
                    </w:rPr>
                    <w:t>外包运维管理</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a）应确保外包运维服务商的选择符合国家有关规定；</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b）应与选定的外包运维服务商签订相关的协议，明确约定外包运维的范围、工作内容；</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c）应保证选择的外包运维服务商在技术和管理方面均应具有按照等级保护要求开展安全运维工作的能力，并将能力在签订的协议中明确；</w:t>
                  </w:r>
                </w:p>
              </w:tc>
            </w:tr>
            <w:tr>
              <w:tc>
                <w:tcPr>
                  <w:tcW w:type="dxa" w:w="387"/>
                  <w:vMerge/>
                  <w:tcBorders>
                    <w:top w:val="none" w:color="000000" w:sz="4"/>
                    <w:left w:val="single" w:color="000000" w:sz="4"/>
                    <w:bottom w:val="single" w:color="000000" w:sz="4"/>
                    <w:right w:val="single" w:color="000000" w:sz="4"/>
                  </w:tcBorders>
                </w:tcPr>
                <w:p/>
              </w:tc>
              <w:tc>
                <w:tcPr>
                  <w:tcW w:type="dxa" w:w="395"/>
                  <w:vMerge/>
                  <w:tcBorders>
                    <w:top w:val="none" w:color="000000" w:sz="4"/>
                    <w:left w:val="none" w:color="000000" w:sz="4"/>
                    <w:bottom w:val="single" w:color="000000" w:sz="4"/>
                    <w:right w:val="single" w:color="000000" w:sz="4"/>
                  </w:tcBorders>
                </w:tcP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21"/>
                    </w:rPr>
                    <w:t>d）应在与外包运维服务商签订的协议中明确所有相关的安全要求，如可能涉及对敏感信息的访问、处理、储存要求，对IT基础设施中断服务的应急保障要求等。</w:t>
                  </w:r>
                </w:p>
              </w:tc>
            </w:tr>
          </w:tbl>
          <w:p>
            <w:pPr>
              <w:pStyle w:val="null3"/>
              <w:spacing w:before="255" w:after="255"/>
              <w:jc w:val="center"/>
              <w:outlineLvl w:val="2"/>
            </w:pPr>
            <w:r>
              <w:rPr>
                <w:rFonts w:ascii="宋体" w:hAnsi="宋体" w:cs="宋体" w:eastAsia="宋体"/>
                <w:b/>
                <w:sz w:val="32"/>
              </w:rPr>
              <w:t>等级保护技术要求（二级）</w:t>
            </w:r>
          </w:p>
          <w:tbl>
            <w:tblPr>
              <w:tblBorders>
                <w:top w:val="none" w:color="000000" w:sz="4"/>
                <w:left w:val="none" w:color="000000" w:sz="4"/>
                <w:bottom w:val="none" w:color="000000" w:sz="4"/>
                <w:right w:val="none" w:color="000000" w:sz="4"/>
                <w:insideH w:val="none"/>
                <w:insideV w:val="none"/>
              </w:tblBorders>
            </w:tblPr>
            <w:tblGrid>
              <w:gridCol w:w="393"/>
              <w:gridCol w:w="412"/>
              <w:gridCol w:w="1744"/>
            </w:tblGrid>
            <w:tr>
              <w:tc>
                <w:tcPr>
                  <w:tcW w:type="dxa" w:w="393"/>
                  <w:tcBorders>
                    <w:top w:val="single" w:color="000000" w:sz="4"/>
                    <w:left w:val="singl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宋体" w:hAnsi="宋体" w:cs="宋体" w:eastAsia="宋体"/>
                      <w:b/>
                      <w:sz w:val="21"/>
                    </w:rPr>
                    <w:t>安全层面</w:t>
                  </w:r>
                </w:p>
              </w:tc>
              <w:tc>
                <w:tcPr>
                  <w:tcW w:type="dxa" w:w="412"/>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宋体" w:hAnsi="宋体" w:cs="宋体" w:eastAsia="宋体"/>
                      <w:b/>
                      <w:sz w:val="21"/>
                    </w:rPr>
                    <w:t>安全控制点</w:t>
                  </w:r>
                </w:p>
              </w:tc>
              <w:tc>
                <w:tcPr>
                  <w:tcW w:type="dxa" w:w="1744"/>
                  <w:tcBorders>
                    <w:top w:val="single" w:color="000000" w:sz="4"/>
                    <w:left w:val="non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宋体" w:hAnsi="宋体" w:cs="宋体" w:eastAsia="宋体"/>
                      <w:b/>
                      <w:sz w:val="21"/>
                    </w:rPr>
                    <w:t>测评指标</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安全物理环境</w:t>
                  </w: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物理位置选择</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）机房和办公场地应选择在具有防震、防风和防雨等能力的建筑内；</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）机房场地应避免设在建筑物的高层或地下室，否则应加强防水和防潮措施。</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物理访问控制</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机房出入口应有专人值守，控制、鉴别和记录进入的人员。</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防盗窃和防破坏</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）应将设备或主要部件进行固定，并设置明显的不易除去的标记；</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）应将通信线缆铺设在隐蔽安全处；</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防雷击</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应将各类机柜、设施和设备等通过接地系统安全接地。</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防火</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）机房应设置火灾自动消防系统，自动检测火情、自动报警，并自动灭火；</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）机房及相关的工作房间和辅助房应采用具有耐火等级的建筑材料；</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防水和防潮</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）应采取措施防止雨水通过机房窗户、屋顶和墙壁渗透；</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）应采取措施防止机房内水蒸气结露和地下积水的转移与渗透。</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防静电</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应采用防静电地板或地面并采用必要的接地防静电措施。</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温湿度控制</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应设置温湿度自动调节设施，使机房温、湿度的变化在设备运行所允许的范围之内。</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电力供应</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）应在机房供电线路上配置稳压器和过电压防护设备；</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）应提供短期的备用电力供应，至少满足主要设备在断电情况下的正常运行要求。</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电磁防护</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电源线和通信线缆应隔离铺设，避免互相干扰。</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安全通信网络</w:t>
                  </w: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网络架构</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a) </w:t>
                  </w:r>
                  <w:r>
                    <w:rPr>
                      <w:rFonts w:ascii="宋体" w:hAnsi="宋体" w:cs="宋体" w:eastAsia="宋体"/>
                      <w:sz w:val="21"/>
                    </w:rPr>
                    <w:t>应划分不同的网络区域，并按照方便管理和控制的原则为各网络区域分配地址；</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b) </w:t>
                  </w:r>
                  <w:r>
                    <w:rPr>
                      <w:rFonts w:ascii="宋体" w:hAnsi="宋体" w:cs="宋体" w:eastAsia="宋体"/>
                      <w:sz w:val="21"/>
                    </w:rPr>
                    <w:t>应避免将重要网络区域部署在边界处，重要网络区域与其他网络区域之间应采取可靠的技术隔离于段。</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通信传输</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应采用校验技术保证通信过程中数据的完整性。</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可信验证</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可基于可信根对通信设备的系统引导程序、系统程序、重要配置参数和通信应用程序等进行可信验证，并在检测到其可信性受到破坏后进行报警，并将验证结果形成审计记录送至安全管理中心。</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安全区域边界</w:t>
                  </w: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边界防护</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应保证跨越边界的访问和数据流通过边界设备提供的受控接口进行通信。</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访问控制</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）应在网络边界或区域之间根据访问控制策略设置访问控制规则，默认情况下除允许通信外受控接口拒绝所有通信；</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b) </w:t>
                  </w:r>
                  <w:r>
                    <w:rPr>
                      <w:rFonts w:ascii="宋体" w:hAnsi="宋体" w:cs="宋体" w:eastAsia="宋体"/>
                      <w:sz w:val="21"/>
                    </w:rPr>
                    <w:t>应删除多余或无效的访问控制规则，优化访问控制列表，并保证访问控制规则数量最小化；</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应对源地址、目的地址、源端口、目的端口和协议等进行检查，以允许／拒绝数据包进出；</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d</w:t>
                  </w:r>
                  <w:r>
                    <w:rPr>
                      <w:rFonts w:ascii="宋体" w:hAnsi="宋体" w:cs="宋体" w:eastAsia="宋体"/>
                      <w:sz w:val="21"/>
                    </w:rPr>
                    <w:t>）应能根据会状态话信息对进出数据流提供明确的允许</w:t>
                  </w:r>
                  <w:r>
                    <w:rPr>
                      <w:rFonts w:ascii="times new roman, times, serif" w:hAnsi="times new roman, times, serif" w:cs="times new roman, times, serif" w:eastAsia="times new roman, times, serif"/>
                      <w:sz w:val="21"/>
                    </w:rPr>
                    <w:t>/</w:t>
                  </w:r>
                  <w:r>
                    <w:rPr>
                      <w:rFonts w:ascii="宋体" w:hAnsi="宋体" w:cs="宋体" w:eastAsia="宋体"/>
                      <w:sz w:val="21"/>
                    </w:rPr>
                    <w:t>拒绝访问的能力；</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入侵防范</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应在关键网络节点处监视网络攻击行为。</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恶意代码防范</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应在关键网络节点处对恶意代码进行检测和清除，并维护恶意代码防护机制的升级和更新。</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安全审计</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应在网络边界、重要网络节点处进行安全审计，审计覆盖到每个用户，对重要的用户行为和重要安全事件进行审计；</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审计记录应包括事件的日期和时间、用户、事件类型、事件是否成功及其他与审计相关的信息；</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应对审计记录进行保护，定期备份，避免受到未预期的删除、修改或覆盖等。</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可信验证</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可基于可信根对边界设备的系统引导程序、系统程序、重要配置参数和边界防护应用程序等进行可信验证，并在检测到其可信性受到破坏后进行报警，并将验证结果形成审计记录送至安全管理中心。</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安全计算环境</w:t>
                  </w: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身份鉴别</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应对登录的用户进行身份标识和鉴别，身份标识具有唯一性，身份鉴别信息具有复杂度要求并定期更换；</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）应具有登录失败处理功能，应配置并启用结束会话、限制非法登录次数和当登录连接超时自动退出等相关措施；</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当进行远程管理时，应采取必要措施防止鉴别信息在网络传输过程中被窃听。</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访问控制</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a) </w:t>
                  </w:r>
                  <w:r>
                    <w:rPr>
                      <w:rFonts w:ascii="宋体" w:hAnsi="宋体" w:cs="宋体" w:eastAsia="宋体"/>
                      <w:sz w:val="21"/>
                    </w:rPr>
                    <w:t>应对登录的用户分配账户和权限；</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b) </w:t>
                  </w:r>
                  <w:r>
                    <w:rPr>
                      <w:rFonts w:ascii="宋体" w:hAnsi="宋体" w:cs="宋体" w:eastAsia="宋体"/>
                      <w:sz w:val="21"/>
                    </w:rPr>
                    <w:t>应重命名或删除默认账户，修改默认账户的默认口令；</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c) </w:t>
                  </w:r>
                  <w:r>
                    <w:rPr>
                      <w:rFonts w:ascii="宋体" w:hAnsi="宋体" w:cs="宋体" w:eastAsia="宋体"/>
                      <w:sz w:val="21"/>
                    </w:rPr>
                    <w:t>应及时删除或停用多余的、过期的账户，避免共享账户的存在；</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d) </w:t>
                  </w:r>
                  <w:r>
                    <w:rPr>
                      <w:rFonts w:ascii="宋体" w:hAnsi="宋体" w:cs="宋体" w:eastAsia="宋体"/>
                      <w:sz w:val="21"/>
                    </w:rPr>
                    <w:t>应授予管理用户所需的最小权限，实现管理用户的权限分离。</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安全审计</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a) </w:t>
                  </w:r>
                  <w:r>
                    <w:rPr>
                      <w:rFonts w:ascii="宋体" w:hAnsi="宋体" w:cs="宋体" w:eastAsia="宋体"/>
                      <w:sz w:val="21"/>
                    </w:rPr>
                    <w:t>应启用安全审计功能，审计覆盖到每个用户，对重要的用户行为和重要安全事件进行审计；</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审计记录应包括事件的日期和时间、用户、事件类型、事件是否成功及其他与审计相关的信息；</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）应对审计记录进行保护，定期备份，避免受到未预期的删除、修改或覆盖等。</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入侵防范</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）应遵循最小安装的原则，仅安装需要的组件和应用程序；</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应关闭不需要的系统服务、默认共享和高危端口；</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）应通过设定终端接入方式或网络地址范围对通过网络进行管理的管理终端进行限制；</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d</w:t>
                  </w:r>
                  <w:r>
                    <w:rPr>
                      <w:rFonts w:ascii="宋体" w:hAnsi="宋体" w:cs="宋体" w:eastAsia="宋体"/>
                      <w:sz w:val="21"/>
                    </w:rPr>
                    <w:t>）应提供数据有效性检验功能，保证通过人机接口输入或通过通信接口输入的内容符合系统设定要求；</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e</w:t>
                  </w:r>
                  <w:r>
                    <w:rPr>
                      <w:rFonts w:ascii="宋体" w:hAnsi="宋体" w:cs="宋体" w:eastAsia="宋体"/>
                      <w:sz w:val="21"/>
                    </w:rPr>
                    <w:t>）应能发现可能存在的已知漏洞，并在经过充分测试评估后，及时修补漏洞；</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恶意代码防范</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应安装防恶意代码软件或配置具有相应功能的软件，并定期进行升级和更新防恶意代码库。</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可信验证</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可基于可信根对计算设备的系统引导程序、系统程序、重要配置参数和应用程序等进行可信验证，并在检测到其可信性受到破坏后进行报警，并将验证结果形成审计记录送至安全管理中心。</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数据完整性</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应采用校验技术保证重要数据在传输过程中的完整性。</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数据和备份恢复</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a) </w:t>
                  </w:r>
                  <w:r>
                    <w:rPr>
                      <w:rFonts w:ascii="宋体" w:hAnsi="宋体" w:cs="宋体" w:eastAsia="宋体"/>
                      <w:sz w:val="21"/>
                    </w:rPr>
                    <w:t>应提供重要数据的本地数据备份与恢复功能；</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应提供异地数据备份功能，利用通信网络将重要数据定时批量传送至备用场地。</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剩余信息保护</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应保证鉴别信息所在的存储空间被释放或重新分配前得到完全清除。</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个人信息保护</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a) </w:t>
                  </w:r>
                  <w:r>
                    <w:rPr>
                      <w:rFonts w:ascii="宋体" w:hAnsi="宋体" w:cs="宋体" w:eastAsia="宋体"/>
                      <w:sz w:val="21"/>
                    </w:rPr>
                    <w:t>应仅采集和保存业务必需的用户个人信息；</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b) </w:t>
                  </w:r>
                  <w:r>
                    <w:rPr>
                      <w:rFonts w:ascii="宋体" w:hAnsi="宋体" w:cs="宋体" w:eastAsia="宋体"/>
                      <w:sz w:val="21"/>
                    </w:rPr>
                    <w:t>应禁止未授权访问和非法使用用户个人信息。</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安全管理中心</w:t>
                  </w: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系统管理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应对系统管理员进行身份鉴别，只允许其通过特定的命令或操作界面进行系统管理操作，并对这些操作进行审计；</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应通过系统管理员对系统的资源和运行进行配置、控制和管理，包括用户身份、系统资源配置、系统加载和启动、系统运行的异常处理、数据和设备的备份与恢复等。</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审计管理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应对审计管理员进行身份鉴别，只允许其通过特定的命令或操作界面进行安全审计操作，并对这些操作进行审计；</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应通过审计管理员对审计记录应进行分析，并根据分析结果进行处理，包括根据安全审计策略对审计记录进行存储、管理和查询等。</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安全管理制度</w:t>
                  </w: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安全策略</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应制定网络安全工作的总体方针和安全策略，阐明机构安全工作的总体目标、范围、原则和安全框架等。</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管理制度</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应对安全管理活动中的各类管理内容建立安全管理制度；</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应对要求管理人员或操作人员执行的日常管理操作建立操作规程。</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制定和发布</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应指定或授权专门的部门或人员负责安全管理制度的制定。</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安全管理制度应通过正式、有效的方式发布，并进行版本控制。</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评审和修订</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应定期对安全管理制度的合理性和适用性进行论证和审定，对存在不足或需要改进的安全管理制度进行修订。</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安全管理机构</w:t>
                  </w: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岗位设置</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应设立网络安全管理工作的职能部门，设立安全主管、安全管理各个方面的负责人岗位，并定义各负责人的职责；</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应设立系统管理员、审计管理员和安全管理员等岗位，并定义部门及各个工作岗位的职责。</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人员配备</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应配备一定数量的系统管理员、审计管理员和安全管理员等。</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授权和审批</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应根据各个部门和岗位的职责明确授权审批事项、审批部门和批准人等；</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应针对系统变更、重要操作、物理访问和系统接入等事项执行审批过程。</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沟通和合作</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应加强各类管理人员 、组织内部机构和网络安全管理部门之间的合作与沟通</w:t>
                  </w:r>
                  <w:r>
                    <w:rPr>
                      <w:rFonts w:ascii="times new roman, times, serif" w:hAnsi="times new roman, times, serif" w:cs="times new roman, times, serif" w:eastAsia="times new roman, times, serif"/>
                      <w:sz w:val="21"/>
                    </w:rPr>
                    <w:t>,</w:t>
                  </w:r>
                  <w:r>
                    <w:rPr>
                      <w:rFonts w:ascii="宋体" w:hAnsi="宋体" w:cs="宋体" w:eastAsia="宋体"/>
                      <w:sz w:val="21"/>
                    </w:rPr>
                    <w:t>定期召开协调会议，共同协作处理网络安全问题；</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应加强与网络安全职能部门、各类供应商、业界专家及安全组织的合作与沟通；</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应建立外联单位联系列表，包括外联单位名称、合作内容、联系人和联系方式等信息。</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审核和检查</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应定期进行常规安全检查</w:t>
                  </w:r>
                  <w:r>
                    <w:rPr>
                      <w:rFonts w:ascii="times new roman, times, serif" w:hAnsi="times new roman, times, serif" w:cs="times new roman, times, serif" w:eastAsia="times new roman, times, serif"/>
                      <w:sz w:val="21"/>
                    </w:rPr>
                    <w:t>,</w:t>
                  </w:r>
                  <w:r>
                    <w:rPr>
                      <w:rFonts w:ascii="宋体" w:hAnsi="宋体" w:cs="宋体" w:eastAsia="宋体"/>
                      <w:sz w:val="21"/>
                    </w:rPr>
                    <w:t>检查内容包括系统日常运行、系统漏洞和数据备份等情况。</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安全管理人员</w:t>
                  </w: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人员录用</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应指定或授权专门的部门或人员负责人员录用；</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应对被录用人员的身份、安全背景、专业资格或资质等进行审查。</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人员离岗</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应及时终止离岗人员的所有访问权限，取回各种身份证件、钥匙、徽章等以及机构提供的软硬件设备。</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安全意识教育和培训</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应对各类人员进行安全意识教育和岗位技能培训，并告知相关的安全责任和惩戒措施。</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外部人员访问管理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应在外部人员物理访问受控区域前先提出书面申请，批准后由专人全程陪同，并登记备案。</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应在外部人员接入受控网络访问系统前先提出书面申请，批准后由专人开设账户、分配权限，并登记备案；</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外部人员离场后应及时清除其所有的访问权限。</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安全建设管理</w:t>
                  </w: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定级和备案</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应以书面的形式说明保护对象的安全保护等级及确定等级的方法和理由；</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应组织相关部门和有关安全技术专家对定级结果的合理性和正确性进行论证和审定；</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应保证定级结果经过相关部门的批准；</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d)</w:t>
                  </w:r>
                  <w:r>
                    <w:rPr>
                      <w:rFonts w:ascii="宋体" w:hAnsi="宋体" w:cs="宋体" w:eastAsia="宋体"/>
                      <w:sz w:val="21"/>
                    </w:rPr>
                    <w:t>应将备案材料报主管部门和相应公安机关备案。</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安全方案设计</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应根据安全保护等级选择基本安全措施，依据风险分析的结果补充和调整安全措施；</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应根据保护对象的安全保护等级进行安全方案设计；</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应组织相关部门和有关安全专家对安全方案的合理性和正确性进行论证和审定，经过批准后才能正式实施。</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产品采购和使用</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应确保网络安全产品采购和使用符合国家的有关规定；</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应确保密码产品与服务的采购和使用符合国家密码管理主管部门的要求。</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自行软件开发</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）应将开发环境与实际运行环境物理分开，测试数据和测试结果受到控制；</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应在软件开发过程中对安全性进行测试，在软件安装前对可能存在的恶意代码进行检测。</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外包软件开发</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）应在软件交付前检测其中可能存在的恶意代码；</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）应保证开发单位提供软件设计文档和使用指南。</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工程实施</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 xml:space="preserve">a) </w:t>
                  </w:r>
                  <w:r>
                    <w:rPr>
                      <w:rFonts w:ascii="宋体" w:hAnsi="宋体" w:cs="宋体" w:eastAsia="宋体"/>
                      <w:sz w:val="21"/>
                    </w:rPr>
                    <w:t>应指定或授权专门的部门或人员负责工程实施过程的管理；</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）应制定安全工程实施方案控制工程实施过程。</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测试验收</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）应制定测试验收方案，并依据测试验收方案实施测试验收，形成测试验收报告；</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应进行上线前的安全性测试，并出具安全测试报告。</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系统交付</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应制定交付清单，并根据交付清单对所交接的设备、软件和文档等进行清点；</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应对负责运行维护的技术人员进行相应的技能培训；</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应提供建设过程文档和运行维护文档。</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等级测评</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应定期进行等级测评，发现不符合相应等级保护标准要求的及时整改；</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应在发生重大变更或级别发生变化时进行等级测评；</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应确保测评机构的选择符合国家有关规定。</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服务供应商选择</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应确保服务供应商的选择符合国家的有关规定；</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应与选定的服务供应商签订相关协议，明确整个服务供应链各方需履行的网络安全相关义务。</w:t>
                  </w:r>
                </w:p>
              </w:tc>
            </w:tr>
            <w:tr>
              <w:tc>
                <w:tcPr>
                  <w:tcW w:type="dxa" w:w="39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安全运维管理</w:t>
                  </w: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环境管理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应指定专门的部门或人员负责机房安全，对机房出入进行管理，定期对机房供配电、空调、温湿度控制、消防等设施进行维护管理；</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应对机房的安全管理做出规定，包括物理访问、物品进出和环境安全等；</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应不在重要区域接待来访人员，不随意放置含有敏感信息的纸档文件和移动介质等。</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资产管理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应编制并保存与保护对象相关的资产清单，包括资产责任部门、重要程度和所处位置等内容。</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介质管理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应将介质存放在安全的环境中，对各类介质进行控制和保护，实行存储环境专人管理，并根据存档介质的目录清单定期盘点；</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应对介质在物理传输过程中的人员选择、打包、交付等情况进行控制，并对介质的归档和查询等进行登记记录。</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设备维护管理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应对各种设备</w:t>
                  </w:r>
                  <w:r>
                    <w:rPr>
                      <w:rFonts w:ascii="times new roman, times, serif" w:hAnsi="times new roman, times, serif" w:cs="times new roman, times, serif" w:eastAsia="times new roman, times, serif"/>
                      <w:sz w:val="21"/>
                    </w:rPr>
                    <w:t>(</w:t>
                  </w:r>
                  <w:r>
                    <w:rPr>
                      <w:rFonts w:ascii="宋体" w:hAnsi="宋体" w:cs="宋体" w:eastAsia="宋体"/>
                      <w:sz w:val="21"/>
                    </w:rPr>
                    <w:t>包括备份和冗余设备</w:t>
                  </w:r>
                  <w:r>
                    <w:rPr>
                      <w:rFonts w:ascii="times new roman, times, serif" w:hAnsi="times new roman, times, serif" w:cs="times new roman, times, serif" w:eastAsia="times new roman, times, serif"/>
                      <w:sz w:val="21"/>
                    </w:rPr>
                    <w:t>)</w:t>
                  </w:r>
                  <w:r>
                    <w:rPr>
                      <w:rFonts w:ascii="宋体" w:hAnsi="宋体" w:cs="宋体" w:eastAsia="宋体"/>
                      <w:sz w:val="21"/>
                    </w:rPr>
                    <w:t>、线路等指定专门的部门或人员定期进行维护管理；</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应对配套设施、软硬件维护管理做出规定，包括明确维护人员的责任、维修和服务的审批、维修过程的监督控制等。</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漏洞和风险管理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应采取必要的措施识别安全漏洞和隐患，对发现的安全漏洞和隐患及时进行修补或评估可能的影响后进行修补。</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网络和系统安全管理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应划分不同的管理员角色进行网络和系统的运维管理，明确各个角色的责任和权限；</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应指定专门的部门或人员进行账户管理，对申请账户、建立账户、删除账户等进行控制；</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应建立网络和系统安全管理制度，对安全策略、账户管理、配置管理、日志管理、日常操作、升级与打补丁、口令更新周期等方面作出规定；</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d)</w:t>
                  </w:r>
                  <w:r>
                    <w:rPr>
                      <w:rFonts w:ascii="宋体" w:hAnsi="宋体" w:cs="宋体" w:eastAsia="宋体"/>
                      <w:sz w:val="21"/>
                    </w:rPr>
                    <w:t>应制定重要设备的配置和操作手册，依据手册对设备进行安全配置和优化配置等；</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e)</w:t>
                  </w:r>
                  <w:r>
                    <w:rPr>
                      <w:rFonts w:ascii="宋体" w:hAnsi="宋体" w:cs="宋体" w:eastAsia="宋体"/>
                      <w:sz w:val="21"/>
                    </w:rPr>
                    <w:t>应详细记录运维操作日志，包括日常巡检工作、运行维护记录、参数的设置和修改等内容。</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恶意代码防范管理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应提高所有用户的防恶意代码意识，对外来计算机或存储设备接入系统前进行恶意代码检查等；</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应对恶意代码防范要求做出规定，包括防恶意代码软件的授权使用、恶意代码库升级、恶意代码的定期查杀等；</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恶意代码防范管理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应定期检查恶意代码库的升级情况，对截获的恶意代码进行及时分析处理。</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配置管理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应记录和保存基本配置信息，包括网络拓扑结构、各个设备安装的软件组件、软件组件的版本和补丁信息、各个设备或软件组件的配置参数等。</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密码管理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应遵循密码相关国家标准和行业标准；</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应使用国家密码管理主管部门认证核准的密码技术和产品。</w:t>
                  </w:r>
                </w:p>
              </w:tc>
            </w:tr>
            <w:tr>
              <w:tc>
                <w:tcPr>
                  <w:tcW w:type="dxa" w:w="393"/>
                  <w:vMerge/>
                  <w:tcBorders>
                    <w:top w:val="none" w:color="000000" w:sz="4"/>
                    <w:left w:val="single" w:color="000000" w:sz="4"/>
                    <w:bottom w:val="single" w:color="000000" w:sz="4"/>
                    <w:right w:val="single" w:color="000000" w:sz="4"/>
                  </w:tcBorders>
                </w:tcP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变更管理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1"/>
                    </w:rPr>
                    <w:t>应明确变更需求，变更前根据变更需求制定变更方案，变更方案经过评审，审批后方可实施。</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备份与恢复管理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应识别需要定期备份的重要业务信息、系统数据及软件系统等；</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应规定备份信息的备份方式、备份频度、存储介质、保存期等；</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应根据数据的重要性和数据对系统运行的影响，制定数据的备份策略和恢复策略、备份程序和恢复程序等。</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安全事件处置</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应及时向安全管理部门报告所发现的安全弱点和可疑事件；</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应制定全事件报告和处置管理制度，明确不同安全事件的报告、处置和响应流程，规定安全事件的现场处理、事件报告和后期恢复的管理职责等；</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c)</w:t>
                  </w:r>
                  <w:r>
                    <w:rPr>
                      <w:rFonts w:ascii="宋体" w:hAnsi="宋体" w:cs="宋体" w:eastAsia="宋体"/>
                      <w:sz w:val="21"/>
                    </w:rPr>
                    <w:t>应在事件报告和响应处理过程中，分析和鉴定事件产生的原因，收集证据，记录处理过程，总结经验教训。</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应急预案管理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应制定重要事件的应急预案，包括应急处理流程、系统恢复流程等内容；</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应定期对系统相关的人员进行应急预案培训，并进行应急预案的演练。</w:t>
                  </w:r>
                </w:p>
              </w:tc>
            </w:tr>
            <w:tr>
              <w:tc>
                <w:tcPr>
                  <w:tcW w:type="dxa" w:w="393"/>
                  <w:vMerge/>
                  <w:tcBorders>
                    <w:top w:val="none" w:color="000000" w:sz="4"/>
                    <w:left w:val="single" w:color="000000" w:sz="4"/>
                    <w:bottom w:val="single" w:color="000000" w:sz="4"/>
                    <w:right w:val="single" w:color="000000" w:sz="4"/>
                  </w:tcBorders>
                </w:tcPr>
                <w:p/>
              </w:tc>
              <w:tc>
                <w:tcPr>
                  <w:tcW w:type="dxa" w:w="4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1"/>
                    </w:rPr>
                    <w:t>外包运维管理</w:t>
                  </w: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a)</w:t>
                  </w:r>
                  <w:r>
                    <w:rPr>
                      <w:rFonts w:ascii="宋体" w:hAnsi="宋体" w:cs="宋体" w:eastAsia="宋体"/>
                      <w:sz w:val="21"/>
                    </w:rPr>
                    <w:t>应确保外包运维服务商的选择符合国家的有关规定；</w:t>
                  </w:r>
                </w:p>
              </w:tc>
            </w:tr>
            <w:tr>
              <w:tc>
                <w:tcPr>
                  <w:tcW w:type="dxa" w:w="393"/>
                  <w:vMerge/>
                  <w:tcBorders>
                    <w:top w:val="none" w:color="000000" w:sz="4"/>
                    <w:left w:val="single" w:color="000000" w:sz="4"/>
                    <w:bottom w:val="single" w:color="000000" w:sz="4"/>
                    <w:right w:val="single" w:color="000000" w:sz="4"/>
                  </w:tcBorders>
                </w:tcPr>
                <w:p/>
              </w:tc>
              <w:tc>
                <w:tcPr>
                  <w:tcW w:type="dxa" w:w="412"/>
                  <w:vMerge/>
                  <w:tcBorders>
                    <w:top w:val="none" w:color="000000" w:sz="4"/>
                    <w:left w:val="none" w:color="000000" w:sz="4"/>
                    <w:bottom w:val="single" w:color="000000" w:sz="4"/>
                    <w:right w:val="single" w:color="000000" w:sz="4"/>
                  </w:tcBorders>
                </w:tcPr>
                <w:p/>
              </w:tc>
              <w:tc>
                <w:tcPr>
                  <w:tcW w:type="dxa" w:w="17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times new roman, times, serif" w:hAnsi="times new roman, times, serif" w:cs="times new roman, times, serif" w:eastAsia="times new roman, times, serif"/>
                      <w:sz w:val="21"/>
                    </w:rPr>
                    <w:t>b)</w:t>
                  </w:r>
                  <w:r>
                    <w:rPr>
                      <w:rFonts w:ascii="宋体" w:hAnsi="宋体" w:cs="宋体" w:eastAsia="宋体"/>
                      <w:sz w:val="21"/>
                    </w:rPr>
                    <w:t>应与选定的外包运维服务商签订相关的协议，明确约定外包运维的范围、工作内容。</w:t>
                  </w:r>
                </w:p>
              </w:tc>
            </w:tr>
          </w:tbl>
          <w:p>
            <w:pPr>
              <w:pStyle w:val="null3"/>
              <w:jc w:val="both"/>
            </w:pPr>
            <w:r>
              <w:rPr/>
              <w:t xml:space="preserve"> </w:t>
            </w:r>
          </w:p>
          <w:p>
            <w:pPr>
              <w:pStyle w:val="null3"/>
              <w:numPr>
                <w:ilvl w:val="0"/>
                <w:numId w:val="2"/>
              </w:numPr>
              <w:spacing w:before="240" w:after="60"/>
              <w:ind w:left="240"/>
              <w:jc w:val="left"/>
            </w:pPr>
            <w:r>
              <w:rPr>
                <w:rFonts w:ascii="宋体" w:hAnsi="宋体" w:cs="宋体" w:eastAsia="宋体"/>
                <w:b/>
                <w:sz w:val="28"/>
              </w:rPr>
              <w:t>第二阶段：渗透测试</w:t>
            </w:r>
          </w:p>
          <w:p>
            <w:pPr>
              <w:pStyle w:val="null3"/>
              <w:ind w:firstLine="480"/>
              <w:jc w:val="both"/>
            </w:pPr>
            <w:r>
              <w:rPr>
                <w:rFonts w:ascii="宋体" w:hAnsi="宋体" w:cs="宋体" w:eastAsia="宋体"/>
                <w:sz w:val="24"/>
              </w:rPr>
              <w:t>渗透测试是通过模拟恶意黑客的攻击方法，来评估计算机信息系统是否安全的一种评估方法。这个过程包括对系统的任何弱点、技术缺陷或漏洞的主动分析，通常该分析是从一个攻击者可能存在的位置来进行的，并且从这个位置有条件主动利用安全漏洞。</w:t>
            </w:r>
          </w:p>
          <w:p>
            <w:pPr>
              <w:pStyle w:val="null3"/>
              <w:numPr>
                <w:ilvl w:val="0"/>
                <w:numId w:val="2"/>
              </w:numPr>
              <w:spacing w:before="240" w:after="60"/>
              <w:ind w:left="240"/>
              <w:jc w:val="left"/>
            </w:pPr>
            <w:r>
              <w:rPr>
                <w:rFonts w:ascii="宋体" w:hAnsi="宋体" w:cs="宋体" w:eastAsia="宋体"/>
                <w:b/>
                <w:sz w:val="28"/>
              </w:rPr>
              <w:t>第三阶段：建设整改咨询及安全加固（不涉及硬件）</w:t>
            </w:r>
          </w:p>
          <w:p>
            <w:pPr>
              <w:pStyle w:val="null3"/>
              <w:ind w:firstLine="480"/>
              <w:jc w:val="both"/>
            </w:pPr>
            <w:r>
              <w:rPr>
                <w:rFonts w:ascii="宋体" w:hAnsi="宋体" w:cs="宋体" w:eastAsia="宋体"/>
                <w:color w:val="000000"/>
                <w:sz w:val="24"/>
              </w:rPr>
              <w:t>建设整改咨询工作以等级测评和渗透检测发现的安全问题为工作重点，编写《信息系统安全建设整改建议》；将信息系统的安全建设整改需求落实到可操作的安全技术和管理上，提出能够实现的技术参数或制度及其具体规范。</w:t>
            </w:r>
          </w:p>
          <w:p>
            <w:pPr>
              <w:pStyle w:val="null3"/>
              <w:ind w:firstLine="480"/>
              <w:jc w:val="both"/>
            </w:pPr>
            <w:r>
              <w:rPr>
                <w:rFonts w:ascii="宋体" w:hAnsi="宋体" w:cs="宋体" w:eastAsia="宋体"/>
                <w:color w:val="000000"/>
                <w:sz w:val="24"/>
              </w:rPr>
              <w:t>医院在依据相关《信息系统安全建设整改建议》开展建设整改工作时，服务方提供建设整改过程中相关的咨询服务。</w:t>
            </w:r>
          </w:p>
          <w:p>
            <w:pPr>
              <w:pStyle w:val="null3"/>
              <w:ind w:firstLine="480"/>
              <w:jc w:val="both"/>
            </w:pPr>
            <w:r>
              <w:rPr>
                <w:rFonts w:ascii="宋体" w:hAnsi="宋体" w:cs="宋体" w:eastAsia="宋体"/>
                <w:color w:val="000000"/>
                <w:sz w:val="24"/>
              </w:rPr>
              <w:t>医院对信息系统安全整改建议进行确认，并依照建议协助我方进行漏洞修复，补丁升级等非硬件层面的安全加固，制定可执行的安全整改方案和计划，然后协助我方分步实施安全整改工作。</w:t>
            </w:r>
          </w:p>
          <w:p>
            <w:pPr>
              <w:pStyle w:val="null3"/>
              <w:numPr>
                <w:ilvl w:val="0"/>
                <w:numId w:val="2"/>
              </w:numPr>
              <w:spacing w:before="240" w:after="60"/>
              <w:ind w:left="240"/>
              <w:jc w:val="left"/>
            </w:pPr>
            <w:r>
              <w:rPr>
                <w:rFonts w:ascii="宋体" w:hAnsi="宋体" w:cs="宋体" w:eastAsia="宋体"/>
                <w:b/>
                <w:sz w:val="28"/>
              </w:rPr>
              <w:t>第四阶段：售后服务</w:t>
            </w:r>
          </w:p>
          <w:p>
            <w:pPr>
              <w:pStyle w:val="null3"/>
              <w:ind w:firstLine="480"/>
              <w:jc w:val="both"/>
            </w:pPr>
            <w:r>
              <w:rPr>
                <w:rFonts w:ascii="宋体" w:hAnsi="宋体" w:cs="宋体" w:eastAsia="宋体"/>
                <w:color w:val="000000"/>
                <w:sz w:val="24"/>
              </w:rPr>
              <w:t>为期一年的售后服务工作中，服务方将向</w:t>
            </w:r>
            <w:r>
              <w:rPr>
                <w:rFonts w:ascii="宋体" w:hAnsi="宋体" w:cs="宋体" w:eastAsia="宋体"/>
                <w:color w:val="000000"/>
                <w:sz w:val="24"/>
              </w:rPr>
              <w:t>陕西省肿瘤医院</w:t>
            </w:r>
            <w:r>
              <w:rPr>
                <w:rFonts w:ascii="宋体" w:hAnsi="宋体" w:cs="宋体" w:eastAsia="宋体"/>
                <w:color w:val="000000"/>
                <w:sz w:val="24"/>
              </w:rPr>
              <w:t>提供包括应急响应、安全监测、配合检查、电话支持、安全咨询等服务在内的安全维保服务。具体服务内容如下：</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1）应急响应服务</w:t>
            </w:r>
          </w:p>
          <w:p>
            <w:pPr>
              <w:pStyle w:val="null3"/>
              <w:ind w:firstLine="480"/>
              <w:jc w:val="both"/>
            </w:pPr>
            <w:r>
              <w:rPr>
                <w:rFonts w:ascii="宋体" w:hAnsi="宋体" w:cs="宋体" w:eastAsia="宋体"/>
                <w:color w:val="000000"/>
                <w:sz w:val="24"/>
              </w:rPr>
              <w:t>针对本次项目，服务方提供</w:t>
            </w:r>
            <w:r>
              <w:rPr>
                <w:rFonts w:ascii="宋体" w:hAnsi="宋体" w:cs="宋体" w:eastAsia="宋体"/>
                <w:color w:val="000000"/>
                <w:sz w:val="24"/>
              </w:rPr>
              <w:t>7*24</w:t>
            </w:r>
            <w:r>
              <w:rPr>
                <w:rFonts w:ascii="宋体" w:hAnsi="宋体" w:cs="宋体" w:eastAsia="宋体"/>
                <w:color w:val="000000"/>
                <w:sz w:val="24"/>
              </w:rPr>
              <w:t>的常规应急响应及灾难恢复专家服务</w:t>
            </w:r>
            <w:r>
              <w:rPr>
                <w:rFonts w:ascii="宋体" w:hAnsi="宋体" w:cs="宋体" w:eastAsia="宋体"/>
                <w:color w:val="000000"/>
                <w:sz w:val="24"/>
              </w:rPr>
              <w:t>，</w:t>
            </w:r>
            <w:r>
              <w:rPr>
                <w:rFonts w:ascii="宋体" w:hAnsi="宋体" w:cs="宋体" w:eastAsia="宋体"/>
                <w:color w:val="000000"/>
                <w:sz w:val="24"/>
              </w:rPr>
              <w:t>在接到</w:t>
            </w:r>
            <w:r>
              <w:rPr>
                <w:rFonts w:ascii="宋体" w:hAnsi="宋体" w:cs="宋体" w:eastAsia="宋体"/>
                <w:color w:val="000000"/>
                <w:sz w:val="24"/>
              </w:rPr>
              <w:t>陕西省肿瘤医院</w:t>
            </w:r>
            <w:r>
              <w:rPr>
                <w:rFonts w:ascii="宋体" w:hAnsi="宋体" w:cs="宋体" w:eastAsia="宋体"/>
                <w:color w:val="000000"/>
                <w:sz w:val="24"/>
              </w:rPr>
              <w:t>故障报修电话</w:t>
            </w:r>
            <w:r>
              <w:rPr>
                <w:rFonts w:ascii="宋体" w:hAnsi="宋体" w:cs="宋体" w:eastAsia="宋体"/>
                <w:color w:val="000000"/>
                <w:sz w:val="24"/>
              </w:rPr>
              <w:t>10分钟内响应</w:t>
            </w:r>
            <w:r>
              <w:rPr>
                <w:rFonts w:ascii="宋体" w:hAnsi="宋体" w:cs="宋体" w:eastAsia="宋体"/>
                <w:color w:val="000000"/>
                <w:sz w:val="24"/>
              </w:rPr>
              <w:t>，</w:t>
            </w:r>
            <w:r>
              <w:rPr>
                <w:rFonts w:ascii="宋体" w:hAnsi="宋体" w:cs="宋体" w:eastAsia="宋体"/>
                <w:color w:val="000000"/>
                <w:sz w:val="24"/>
              </w:rPr>
              <w:t>对客户信息网络应用系统突发的信息安全事件进行响应、处理、恢复、取证、跟踪、事后分析</w:t>
            </w:r>
            <w:r>
              <w:rPr>
                <w:rFonts w:ascii="宋体" w:hAnsi="宋体" w:cs="宋体" w:eastAsia="宋体"/>
                <w:color w:val="000000"/>
                <w:sz w:val="24"/>
              </w:rPr>
              <w:t>，</w:t>
            </w:r>
            <w:r>
              <w:rPr>
                <w:rFonts w:ascii="宋体" w:hAnsi="宋体" w:cs="宋体" w:eastAsia="宋体"/>
                <w:color w:val="000000"/>
                <w:sz w:val="24"/>
              </w:rPr>
              <w:t>并形成总结报告。</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）配合检查服务</w:t>
            </w:r>
          </w:p>
          <w:p>
            <w:pPr>
              <w:pStyle w:val="null3"/>
              <w:ind w:firstLine="480"/>
              <w:jc w:val="both"/>
            </w:pPr>
            <w:r>
              <w:rPr>
                <w:rFonts w:ascii="宋体" w:hAnsi="宋体" w:cs="宋体" w:eastAsia="宋体"/>
                <w:color w:val="000000"/>
                <w:sz w:val="24"/>
              </w:rPr>
              <w:t>服务方免费协助</w:t>
            </w:r>
            <w:r>
              <w:rPr>
                <w:rFonts w:ascii="宋体" w:hAnsi="宋体" w:cs="宋体" w:eastAsia="宋体"/>
                <w:color w:val="000000"/>
                <w:sz w:val="24"/>
              </w:rPr>
              <w:t>陕西省肿瘤医院</w:t>
            </w:r>
            <w:r>
              <w:rPr>
                <w:rFonts w:ascii="宋体" w:hAnsi="宋体" w:cs="宋体" w:eastAsia="宋体"/>
                <w:color w:val="000000"/>
                <w:sz w:val="24"/>
              </w:rPr>
              <w:t>响应公安机关、单位内部以及第三方机构针对信息系统安全等级保护工作的检查工作。服务内容包括协助</w:t>
            </w:r>
            <w:r>
              <w:rPr>
                <w:rFonts w:ascii="宋体" w:hAnsi="宋体" w:cs="宋体" w:eastAsia="宋体"/>
                <w:color w:val="000000"/>
                <w:sz w:val="24"/>
              </w:rPr>
              <w:t>陕西省肿瘤医院</w:t>
            </w:r>
            <w:r>
              <w:rPr>
                <w:rFonts w:ascii="宋体" w:hAnsi="宋体" w:cs="宋体" w:eastAsia="宋体"/>
                <w:color w:val="000000"/>
                <w:sz w:val="24"/>
              </w:rPr>
              <w:t>准备、完善各类资料文档，配合检查过程中的答疑及技术支持及其他现场检查的响应。</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）电话支持服务</w:t>
            </w:r>
          </w:p>
          <w:p>
            <w:pPr>
              <w:pStyle w:val="null3"/>
              <w:ind w:firstLine="480"/>
              <w:jc w:val="both"/>
            </w:pPr>
            <w:r>
              <w:rPr>
                <w:rFonts w:ascii="宋体" w:hAnsi="宋体" w:cs="宋体" w:eastAsia="宋体"/>
                <w:color w:val="000000"/>
                <w:sz w:val="24"/>
              </w:rPr>
              <w:t>每周</w:t>
            </w:r>
            <w:r>
              <w:rPr>
                <w:rFonts w:ascii="宋体" w:hAnsi="宋体" w:cs="宋体" w:eastAsia="宋体"/>
                <w:color w:val="000000"/>
                <w:sz w:val="24"/>
              </w:rPr>
              <w:t>7*24</w:t>
            </w:r>
            <w:r>
              <w:rPr>
                <w:rFonts w:ascii="宋体" w:hAnsi="宋体" w:cs="宋体" w:eastAsia="宋体"/>
                <w:color w:val="000000"/>
                <w:sz w:val="24"/>
              </w:rPr>
              <w:t>小时不间断的电话支持服务，解答</w:t>
            </w:r>
            <w:r>
              <w:rPr>
                <w:rFonts w:ascii="宋体" w:hAnsi="宋体" w:cs="宋体" w:eastAsia="宋体"/>
                <w:color w:val="000000"/>
                <w:sz w:val="24"/>
              </w:rPr>
              <w:t>陕西省肿瘤医院</w:t>
            </w:r>
            <w:r>
              <w:rPr>
                <w:rFonts w:ascii="宋体" w:hAnsi="宋体" w:cs="宋体" w:eastAsia="宋体"/>
                <w:color w:val="000000"/>
                <w:sz w:val="24"/>
              </w:rPr>
              <w:t>在使用过程中遇到的问题，并及时提出解决问题的建议和操作方法。电话响应时间不超过</w:t>
            </w:r>
            <w:r>
              <w:rPr>
                <w:rFonts w:ascii="宋体" w:hAnsi="宋体" w:cs="宋体" w:eastAsia="宋体"/>
                <w:color w:val="000000"/>
                <w:sz w:val="24"/>
              </w:rPr>
              <w:t>10分钟，到达现场时间不超过2小时，解决问题不超过24小时。</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w:t>
            </w:r>
            <w:r>
              <w:rPr>
                <w:rFonts w:ascii="宋体" w:hAnsi="宋体" w:cs="宋体" w:eastAsia="宋体"/>
                <w:color w:val="000000"/>
                <w:sz w:val="24"/>
              </w:rPr>
              <w:t>）安全咨询服务</w:t>
            </w:r>
          </w:p>
          <w:p>
            <w:pPr>
              <w:pStyle w:val="null3"/>
              <w:ind w:firstLine="480"/>
              <w:jc w:val="both"/>
            </w:pPr>
            <w:r>
              <w:rPr>
                <w:rFonts w:ascii="宋体" w:hAnsi="宋体" w:cs="宋体" w:eastAsia="宋体"/>
                <w:color w:val="000000"/>
                <w:sz w:val="24"/>
              </w:rPr>
              <w:t>服务方为</w:t>
            </w:r>
            <w:r>
              <w:rPr>
                <w:rFonts w:ascii="宋体" w:hAnsi="宋体" w:cs="宋体" w:eastAsia="宋体"/>
                <w:color w:val="000000"/>
                <w:sz w:val="24"/>
              </w:rPr>
              <w:t>陕西省肿瘤医院</w:t>
            </w:r>
            <w:r>
              <w:rPr>
                <w:rFonts w:ascii="宋体" w:hAnsi="宋体" w:cs="宋体" w:eastAsia="宋体"/>
                <w:color w:val="000000"/>
                <w:sz w:val="24"/>
              </w:rPr>
              <w:t>免费提供一年技术咨询服务，包括信息系统整改建设咨询服务以及其他相关安全咨询服务，一旦接到客户的服务请求，技术服务工程师将立即开始提供服务，帮助客户解决信息安全相关技术问题，全面配合</w:t>
            </w:r>
            <w:r>
              <w:rPr>
                <w:rFonts w:ascii="宋体" w:hAnsi="宋体" w:cs="宋体" w:eastAsia="宋体"/>
                <w:color w:val="000000"/>
                <w:sz w:val="24"/>
              </w:rPr>
              <w:t>陕西省肿瘤医院</w:t>
            </w:r>
            <w:r>
              <w:rPr>
                <w:rFonts w:ascii="宋体" w:hAnsi="宋体" w:cs="宋体" w:eastAsia="宋体"/>
                <w:color w:val="000000"/>
                <w:sz w:val="24"/>
              </w:rPr>
              <w:t>做好业务系统全保障工作。</w:t>
            </w:r>
          </w:p>
          <w:p>
            <w:pPr>
              <w:pStyle w:val="null3"/>
              <w:numPr>
                <w:ilvl w:val="0"/>
                <w:numId w:val="2"/>
              </w:numPr>
              <w:jc w:val="both"/>
            </w:pPr>
            <w:r>
              <w:rPr>
                <w:rFonts w:ascii="宋体" w:hAnsi="宋体" w:cs="宋体" w:eastAsia="宋体"/>
                <w:b/>
                <w:sz w:val="30"/>
              </w:rPr>
              <w:t>交付内容</w:t>
            </w:r>
          </w:p>
          <w:p>
            <w:pPr>
              <w:pStyle w:val="null3"/>
              <w:numPr>
                <w:ilvl w:val="0"/>
                <w:numId w:val="1"/>
              </w:numPr>
            </w:pPr>
            <w:r>
              <w:rPr>
                <w:rFonts w:ascii="宋体" w:hAnsi="宋体" w:cs="宋体" w:eastAsia="宋体"/>
                <w:sz w:val="24"/>
              </w:rPr>
              <w:t>《信息系统安全等级保护定级备案证明》</w:t>
            </w:r>
            <w:r>
              <w:rPr>
                <w:rFonts w:ascii="宋体" w:hAnsi="宋体" w:cs="宋体" w:eastAsia="宋体"/>
                <w:sz w:val="24"/>
              </w:rPr>
              <w:t>；</w:t>
            </w:r>
          </w:p>
          <w:p>
            <w:pPr>
              <w:pStyle w:val="null3"/>
              <w:numPr>
                <w:ilvl w:val="0"/>
                <w:numId w:val="1"/>
              </w:numPr>
            </w:pPr>
            <w:r>
              <w:rPr>
                <w:rFonts w:ascii="宋体" w:hAnsi="宋体" w:cs="宋体" w:eastAsia="宋体"/>
                <w:sz w:val="24"/>
              </w:rPr>
              <w:t>《信息系统安全等级测评报告》；</w:t>
            </w:r>
          </w:p>
          <w:p>
            <w:pPr>
              <w:pStyle w:val="null3"/>
              <w:numPr>
                <w:ilvl w:val="0"/>
                <w:numId w:val="1"/>
              </w:numPr>
            </w:pPr>
            <w:r>
              <w:rPr>
                <w:rFonts w:ascii="宋体" w:hAnsi="宋体" w:cs="宋体" w:eastAsia="宋体"/>
                <w:sz w:val="24"/>
              </w:rPr>
              <w:t>《信息系统整改建议书》；</w:t>
            </w:r>
          </w:p>
          <w:p>
            <w:pPr>
              <w:pStyle w:val="null3"/>
              <w:jc w:val="both"/>
            </w:pPr>
            <w:r>
              <w:rPr>
                <w:rFonts w:ascii="宋体" w:hAnsi="宋体" w:cs="宋体" w:eastAsia="宋体"/>
                <w:sz w:val="24"/>
              </w:rPr>
              <w:t xml:space="preserve">  4.《信息系统渗透测试报告》。</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合同签订后60个工作日</w:t>
      </w:r>
    </w:p>
    <w:p>
      <w:pPr>
        <w:pStyle w:val="null3"/>
      </w:pPr>
      <w:r>
        <w:rPr/>
        <w:t>采购包2：</w:t>
      </w:r>
    </w:p>
    <w:p>
      <w:pPr>
        <w:pStyle w:val="null3"/>
      </w:pPr>
      <w:r>
        <w:rPr/>
        <w:t>一年</w:t>
      </w:r>
    </w:p>
    <w:p>
      <w:pPr>
        <w:pStyle w:val="null3"/>
        <w:outlineLvl w:val="3"/>
      </w:pPr>
      <w:r>
        <w:rPr>
          <w:b/>
          <w:sz w:val="24"/>
        </w:rPr>
        <w:t>3.4.2交货地点</w:t>
      </w:r>
    </w:p>
    <w:p>
      <w:pPr>
        <w:pStyle w:val="null3"/>
      </w:pPr>
      <w:r>
        <w:rPr/>
        <w:t>采购包1：</w:t>
      </w:r>
    </w:p>
    <w:p>
      <w:pPr>
        <w:pStyle w:val="null3"/>
      </w:pPr>
      <w:r>
        <w:rPr/>
        <w:t>陕西省肿瘤医院</w:t>
      </w:r>
    </w:p>
    <w:p>
      <w:pPr>
        <w:pStyle w:val="null3"/>
      </w:pPr>
      <w:r>
        <w:rPr/>
        <w:t>采购包2：</w:t>
      </w:r>
    </w:p>
    <w:p>
      <w:pPr>
        <w:pStyle w:val="null3"/>
      </w:pPr>
      <w:r>
        <w:rPr/>
        <w:t>陕西省肿瘤医院</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两个阶段验收合格后，支付合同款项100%。</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安全服务半年后且等保测评验收合格支付50%</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安全服务一年后验收合格支付50%</w:t>
      </w:r>
      <w:r>
        <w:rPr/>
        <w:t xml:space="preserve"> ，达到付款条件起 </w:t>
      </w:r>
      <w:r>
        <w:rPr/>
        <w:t>30</w:t>
      </w:r>
      <w:r>
        <w:rPr/>
        <w:t xml:space="preserve"> 日内，支付合同总金额的 </w:t>
      </w:r>
      <w:r>
        <w:rPr/>
        <w:t>50.00</w:t>
      </w:r>
      <w:r>
        <w:rPr/>
        <w:t>%。</w:t>
      </w:r>
    </w:p>
    <w:p>
      <w:pPr>
        <w:pStyle w:val="null3"/>
        <w:outlineLvl w:val="3"/>
      </w:pPr>
      <w:r>
        <w:rPr>
          <w:b/>
          <w:sz w:val="24"/>
        </w:rPr>
        <w:t>3.4.5验收标准和方法</w:t>
      </w:r>
    </w:p>
    <w:p>
      <w:pPr>
        <w:pStyle w:val="null3"/>
      </w:pPr>
      <w:r>
        <w:rPr/>
        <w:t>采购包1：</w:t>
      </w:r>
    </w:p>
    <w:p>
      <w:pPr>
        <w:pStyle w:val="null3"/>
      </w:pPr>
      <w:r>
        <w:rPr/>
        <w:t>分为两个阶段验收，第一阶段验收：设备上架调试完成后进行功能性验收。第二阶段验收：在功能性验收合格后，进行试运行阶段验收。</w:t>
      </w:r>
    </w:p>
    <w:p>
      <w:pPr>
        <w:pStyle w:val="null3"/>
      </w:pPr>
      <w:r>
        <w:rPr/>
        <w:t>采购包2：</w:t>
      </w:r>
    </w:p>
    <w:p>
      <w:pPr>
        <w:pStyle w:val="null3"/>
      </w:pPr>
      <w:r>
        <w:rPr/>
        <w:t>项目验收分两个阶段。第一阶段：等保测评验收；第二阶段：安全服务验收。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三年</w:t>
      </w:r>
    </w:p>
    <w:p>
      <w:pPr>
        <w:pStyle w:val="null3"/>
      </w:pPr>
      <w:r>
        <w:rPr/>
        <w:t>采购包2：</w:t>
      </w:r>
    </w:p>
    <w:p>
      <w:pPr>
        <w:pStyle w:val="null3"/>
      </w:pPr>
      <w:r>
        <w:rPr/>
        <w:t>一年</w:t>
      </w:r>
    </w:p>
    <w:p>
      <w:pPr>
        <w:pStyle w:val="null3"/>
        <w:outlineLvl w:val="3"/>
      </w:pPr>
      <w:r>
        <w:rPr>
          <w:b/>
          <w:sz w:val="24"/>
        </w:rPr>
        <w:t>3.4.8违约责任与解决争议的方法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t>采购包2：</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b/>
          <w:sz w:val="28"/>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份、副本壹套、电子版壹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（2）商务及技术偏离表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（1）开标一览表及分项报价表 标的清单</w:t>
            </w:r>
          </w:p>
        </w:tc>
      </w:tr>
      <w:tr>
        <w:tc>
          <w:tcPr>
            <w:tcW w:type="dxa" w:w="831"/>
          </w:tcPr>
          <w:p>
            <w:pPr>
              <w:pStyle w:val="null3"/>
            </w:pPr>
            <w:r>
              <w:rPr/>
              <w:t>2</w:t>
            </w:r>
          </w:p>
        </w:tc>
        <w:tc>
          <w:tcPr>
            <w:tcW w:type="dxa" w:w="2492"/>
          </w:tcPr>
          <w:p>
            <w:pPr>
              <w:pStyle w:val="null3"/>
            </w:pPr>
            <w:r>
              <w:rPr/>
              <w:t>质保期</w:t>
            </w:r>
          </w:p>
        </w:tc>
        <w:tc>
          <w:tcPr>
            <w:tcW w:type="dxa" w:w="3322"/>
          </w:tcPr>
          <w:p>
            <w:pPr>
              <w:pStyle w:val="null3"/>
            </w:pPr>
            <w:r>
              <w:rPr/>
              <w:t>三年</w:t>
            </w:r>
          </w:p>
        </w:tc>
        <w:tc>
          <w:tcPr>
            <w:tcW w:type="dxa" w:w="1661"/>
          </w:tcPr>
          <w:p>
            <w:pPr>
              <w:pStyle w:val="null3"/>
            </w:pPr>
            <w:r>
              <w:rPr/>
              <w:t>（1）商务及技术偏离表</w:t>
            </w:r>
          </w:p>
        </w:tc>
      </w:tr>
      <w:tr>
        <w:tc>
          <w:tcPr>
            <w:tcW w:type="dxa" w:w="831"/>
          </w:tcPr>
          <w:p>
            <w:pPr>
              <w:pStyle w:val="null3"/>
            </w:pPr>
            <w:r>
              <w:rPr/>
              <w:t>3</w:t>
            </w:r>
          </w:p>
        </w:tc>
        <w:tc>
          <w:tcPr>
            <w:tcW w:type="dxa" w:w="2492"/>
          </w:tcPr>
          <w:p>
            <w:pPr>
              <w:pStyle w:val="null3"/>
            </w:pPr>
            <w:r>
              <w:rPr/>
              <w:t>交货安装期</w:t>
            </w:r>
          </w:p>
        </w:tc>
        <w:tc>
          <w:tcPr>
            <w:tcW w:type="dxa" w:w="3322"/>
          </w:tcPr>
          <w:p>
            <w:pPr>
              <w:pStyle w:val="null3"/>
            </w:pPr>
            <w:r>
              <w:rPr/>
              <w:t>合同签订后60个工作日</w:t>
            </w:r>
          </w:p>
        </w:tc>
        <w:tc>
          <w:tcPr>
            <w:tcW w:type="dxa" w:w="1661"/>
          </w:tcPr>
          <w:p>
            <w:pPr>
              <w:pStyle w:val="null3"/>
            </w:pPr>
            <w:r>
              <w:rPr/>
              <w:t>（1）商务及技术偏离表 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两个阶段验收合格后，支付合同款项100%。</w:t>
            </w:r>
          </w:p>
        </w:tc>
        <w:tc>
          <w:tcPr>
            <w:tcW w:type="dxa" w:w="1661"/>
          </w:tcPr>
          <w:p>
            <w:pPr>
              <w:pStyle w:val="null3"/>
            </w:pPr>
            <w:r>
              <w:rPr/>
              <w:t>（1）商务及技术偏离表 投标文件封面</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90日历天</w:t>
            </w:r>
          </w:p>
        </w:tc>
        <w:tc>
          <w:tcPr>
            <w:tcW w:type="dxa" w:w="1661"/>
          </w:tcPr>
          <w:p>
            <w:pPr>
              <w:pStyle w:val="null3"/>
            </w:pPr>
            <w:r>
              <w:rPr/>
              <w:t>（1）商务及技术偏离表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（2）开标一览表及分项报价表</w:t>
            </w:r>
          </w:p>
        </w:tc>
      </w:tr>
      <w:tr>
        <w:tc>
          <w:tcPr>
            <w:tcW w:type="dxa" w:w="831"/>
          </w:tcPr>
          <w:p>
            <w:pPr>
              <w:pStyle w:val="null3"/>
            </w:pPr>
            <w:r>
              <w:rPr/>
              <w:t>2</w:t>
            </w:r>
          </w:p>
        </w:tc>
        <w:tc>
          <w:tcPr>
            <w:tcW w:type="dxa" w:w="2492"/>
          </w:tcPr>
          <w:p>
            <w:pPr>
              <w:pStyle w:val="null3"/>
            </w:pPr>
            <w:r>
              <w:rPr/>
              <w:t>服务周期</w:t>
            </w:r>
          </w:p>
        </w:tc>
        <w:tc>
          <w:tcPr>
            <w:tcW w:type="dxa" w:w="3322"/>
          </w:tcPr>
          <w:p>
            <w:pPr>
              <w:pStyle w:val="null3"/>
            </w:pPr>
            <w:r>
              <w:rPr/>
              <w:t>一年</w:t>
            </w:r>
          </w:p>
        </w:tc>
        <w:tc>
          <w:tcPr>
            <w:tcW w:type="dxa" w:w="1661"/>
          </w:tcPr>
          <w:p>
            <w:pPr>
              <w:pStyle w:val="null3"/>
            </w:pPr>
            <w:r>
              <w:rPr/>
              <w:t>（2）商务及技术偏离表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安全服务半年后且等保测评验收合格支付50%，安全服务一年后验收合格支付50%。</w:t>
            </w:r>
          </w:p>
        </w:tc>
        <w:tc>
          <w:tcPr>
            <w:tcW w:type="dxa" w:w="1661"/>
          </w:tcPr>
          <w:p>
            <w:pPr>
              <w:pStyle w:val="null3"/>
            </w:pPr>
            <w:r>
              <w:rPr/>
              <w:t>投标文件封面 （2）商务及技术偏离表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投标文件封面 （2）商务及技术偏离表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产品选型</w:t>
            </w:r>
          </w:p>
        </w:tc>
        <w:tc>
          <w:tcPr>
            <w:tcW w:type="dxa" w:w="2492"/>
          </w:tcPr>
          <w:p>
            <w:pPr>
              <w:pStyle w:val="null3"/>
            </w:pPr>
            <w:r>
              <w:rPr/>
              <w:t>供应商提供投标产品的产品选型方案，至少包含：1、产品的稳定性；2、数据的开放性和兼容性；3、投标产品配置齐全等。 方案各项内容全面详细、阐述条理清晰、技术先进、功能配置合理，能有效保障本项目实施得6分，每有一项缺项扣2分，每有一处内容存在缺陷，扣1分，扣完为止。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（1）服务方案及供应商认为有必要提供的其他内容</w:t>
            </w:r>
          </w:p>
        </w:tc>
      </w:tr>
      <w:tr>
        <w:tc>
          <w:tcPr>
            <w:tcW w:type="dxa" w:w="831"/>
            <w:vMerge/>
          </w:tcP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12分；其中“▲”标注参数为重要技术参数。每负偏离一项扣2分，直至本项扣完为止；非“▲”参数为一般参数，每负偏离一项扣1分，直至本项扣完为止。 注：带“▲”参数需提供佐证材料并加盖公章。 （佐证材料不限于：检测报告、功能说明书、功能截图等内容，证明材料需加盖公章，未提供相关证明材料不得分。）</w:t>
            </w:r>
          </w:p>
        </w:tc>
        <w:tc>
          <w:tcPr>
            <w:tcW w:type="dxa" w:w="831"/>
          </w:tcPr>
          <w:p>
            <w:pPr>
              <w:pStyle w:val="null3"/>
              <w:jc w:val="right"/>
            </w:pPr>
            <w:r>
              <w:rPr/>
              <w:t>12.00</w:t>
            </w:r>
          </w:p>
        </w:tc>
        <w:tc>
          <w:tcPr>
            <w:tcW w:type="dxa" w:w="831"/>
          </w:tcPr>
          <w:p>
            <w:pPr>
              <w:pStyle w:val="null3"/>
            </w:pPr>
            <w:r>
              <w:rPr/>
              <w:t>客观</w:t>
            </w:r>
          </w:p>
        </w:tc>
        <w:tc>
          <w:tcPr>
            <w:tcW w:type="dxa" w:w="1661"/>
          </w:tcPr>
          <w:p>
            <w:pPr>
              <w:pStyle w:val="null3"/>
            </w:pPr>
            <w:r>
              <w:rPr/>
              <w:t>（1）服务方案及供应商认为有必要提供的其他内容</w:t>
            </w:r>
          </w:p>
          <w:p>
            <w:pPr>
              <w:pStyle w:val="null3"/>
            </w:pPr>
            <w:r>
              <w:rPr/>
              <w:t>（1）商务及技术偏离表</w:t>
            </w:r>
          </w:p>
        </w:tc>
      </w:tr>
      <w:tr>
        <w:tc>
          <w:tcPr>
            <w:tcW w:type="dxa" w:w="831"/>
            <w:vMerge/>
          </w:tcPr>
          <w:p/>
        </w:tc>
        <w:tc>
          <w:tcPr>
            <w:tcW w:type="dxa" w:w="1661"/>
          </w:tcPr>
          <w:p>
            <w:pPr>
              <w:pStyle w:val="null3"/>
            </w:pPr>
            <w:r>
              <w:rPr/>
              <w:t>超融合技术方案</w:t>
            </w:r>
          </w:p>
        </w:tc>
        <w:tc>
          <w:tcPr>
            <w:tcW w:type="dxa" w:w="2492"/>
          </w:tcPr>
          <w:p>
            <w:pPr>
              <w:pStyle w:val="null3"/>
            </w:pPr>
            <w:r>
              <w:rPr/>
              <w:t>供应商提供针对本项目的超融合技术方案，方案针对本项目实施提出：1、提供新增超融合节点与医院现有内网超融合平台的对接方案、架构优化方案；2、数据迁移、应急演练方案。 方案各项内容全面详细、阐述条理清晰详尽、符合本项目采购需求、能有效保障本项目实施的得6分，每有一个缺项扣3分，每有一处内容存在缺陷，扣1分，扣完为止。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（1）服务方案及供应商认为有必要提供的其他内容</w:t>
            </w:r>
          </w:p>
        </w:tc>
      </w:tr>
      <w:tr>
        <w:tc>
          <w:tcPr>
            <w:tcW w:type="dxa" w:w="831"/>
            <w:vMerge/>
          </w:tcPr>
          <w:p/>
        </w:tc>
        <w:tc>
          <w:tcPr>
            <w:tcW w:type="dxa" w:w="1661"/>
          </w:tcPr>
          <w:p>
            <w:pPr>
              <w:pStyle w:val="null3"/>
            </w:pPr>
            <w:r>
              <w:rPr/>
              <w:t>备份一体机扩容方案</w:t>
            </w:r>
          </w:p>
        </w:tc>
        <w:tc>
          <w:tcPr>
            <w:tcW w:type="dxa" w:w="2492"/>
          </w:tcPr>
          <w:p>
            <w:pPr>
              <w:pStyle w:val="null3"/>
            </w:pPr>
            <w:r>
              <w:rPr/>
              <w:t>供应商提供针对本项目的备份一体机扩容方案，方案针对本项目实施提出：1、对目前通用的各类操作系统环境提供具体可行的兼容方案;2、对系统迁移、数据库迁移等有具体可行的解决方案;3、有切实可行的信息安全防护体系等。 方案各项内容全面详细、阐述条理清晰详尽、符合本项目采购需求、能有效保障本项目实施的得6分，每有一个缺项扣2分，每有一处内容存在缺陷，扣1分，扣完为止。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（1）服务方案及供应商认为有必要提供的其他内容</w:t>
            </w:r>
          </w:p>
        </w:tc>
      </w:tr>
      <w:tr>
        <w:tc>
          <w:tcPr>
            <w:tcW w:type="dxa" w:w="831"/>
            <w:vMerge/>
          </w:tcPr>
          <w:p/>
        </w:tc>
        <w:tc>
          <w:tcPr>
            <w:tcW w:type="dxa" w:w="1661"/>
          </w:tcPr>
          <w:p>
            <w:pPr>
              <w:pStyle w:val="null3"/>
            </w:pPr>
            <w:r>
              <w:rPr/>
              <w:t>质量控制</w:t>
            </w:r>
          </w:p>
        </w:tc>
        <w:tc>
          <w:tcPr>
            <w:tcW w:type="dxa" w:w="2492"/>
          </w:tcPr>
          <w:p>
            <w:pPr>
              <w:pStyle w:val="null3"/>
            </w:pPr>
            <w:r>
              <w:rPr/>
              <w:t>供应商提供质量控制措施。 1、质量控制方法和措施、流程，控制重点思路清晰明确得3分； 2、质量控制措施内容无针对性，有缺陷得1分； 3、未提供不得分。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（1）服务方案及供应商认为有必要提供的其他内容</w:t>
            </w:r>
          </w:p>
        </w:tc>
      </w:tr>
      <w:tr>
        <w:tc>
          <w:tcPr>
            <w:tcW w:type="dxa" w:w="831"/>
            <w:vMerge/>
          </w:tcPr>
          <w:p/>
        </w:tc>
        <w:tc>
          <w:tcPr>
            <w:tcW w:type="dxa" w:w="1661"/>
          </w:tcPr>
          <w:p>
            <w:pPr>
              <w:pStyle w:val="null3"/>
            </w:pPr>
            <w:r>
              <w:rPr/>
              <w:t>项目负责人简历表</w:t>
            </w:r>
          </w:p>
        </w:tc>
        <w:tc>
          <w:tcPr>
            <w:tcW w:type="dxa" w:w="2492"/>
          </w:tcPr>
          <w:p>
            <w:pPr>
              <w:pStyle w:val="null3"/>
            </w:pPr>
            <w:r>
              <w:rPr/>
              <w:t>拟派项目负责人具有相关行业2年以上从业经验，提供项目负责人简历表。需对从业经验有描述内容，描述内容不符或无描述内容此项不得分。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（1）人员表</w:t>
            </w:r>
          </w:p>
        </w:tc>
      </w:tr>
      <w:tr>
        <w:tc>
          <w:tcPr>
            <w:tcW w:type="dxa" w:w="831"/>
            <w:vMerge/>
          </w:tcPr>
          <w:p/>
        </w:tc>
        <w:tc>
          <w:tcPr>
            <w:tcW w:type="dxa" w:w="1661"/>
          </w:tcPr>
          <w:p>
            <w:pPr>
              <w:pStyle w:val="null3"/>
            </w:pPr>
            <w:r>
              <w:rPr/>
              <w:t>项目负责人</w:t>
            </w:r>
          </w:p>
        </w:tc>
        <w:tc>
          <w:tcPr>
            <w:tcW w:type="dxa" w:w="2492"/>
          </w:tcPr>
          <w:p>
            <w:pPr>
              <w:pStyle w:val="null3"/>
            </w:pPr>
            <w:r>
              <w:rPr/>
              <w:t>拟派项目负责人具备计算机或软件能力相关技术证书，提供1个中级工程师证书得1分，提供1个高级工程师证书得2分，满分2分。（多个中级工程师证书仅计1分） 须同时提供供应商为其缴纳的社保缴费证明，未提供不得分。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（1）人员表</w:t>
            </w:r>
          </w:p>
        </w:tc>
      </w:tr>
      <w:tr>
        <w:tc>
          <w:tcPr>
            <w:tcW w:type="dxa" w:w="831"/>
            <w:vMerge/>
          </w:tcPr>
          <w:p/>
        </w:tc>
        <w:tc>
          <w:tcPr>
            <w:tcW w:type="dxa" w:w="1661"/>
          </w:tcPr>
          <w:p>
            <w:pPr>
              <w:pStyle w:val="null3"/>
            </w:pPr>
            <w:r>
              <w:rPr/>
              <w:t>团队人员</w:t>
            </w:r>
          </w:p>
        </w:tc>
        <w:tc>
          <w:tcPr>
            <w:tcW w:type="dxa" w:w="2492"/>
          </w:tcPr>
          <w:p>
            <w:pPr>
              <w:pStyle w:val="null3"/>
            </w:pPr>
            <w:r>
              <w:rPr/>
              <w:t>提供团队人员（除项目负责人外）计算机或软件能力相关技术证书，提供1个中级工程师证书得0.5分，提供1个高级工程师证书得1分。 备注：相同人员不重复计分，满分3分。 须同时提供供应商为其缴纳的社保缴费证明，未提供不得分。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（1）人员表</w:t>
            </w:r>
          </w:p>
        </w:tc>
      </w:tr>
      <w:tr>
        <w:tc>
          <w:tcPr>
            <w:tcW w:type="dxa" w:w="831"/>
            <w:vMerge/>
          </w:tcPr>
          <w:p/>
        </w:tc>
        <w:tc>
          <w:tcPr>
            <w:tcW w:type="dxa" w:w="1661"/>
          </w:tcPr>
          <w:p>
            <w:pPr>
              <w:pStyle w:val="null3"/>
            </w:pPr>
            <w:r>
              <w:rPr/>
              <w:t>团队配备方案</w:t>
            </w:r>
          </w:p>
        </w:tc>
        <w:tc>
          <w:tcPr>
            <w:tcW w:type="dxa" w:w="2492"/>
          </w:tcPr>
          <w:p>
            <w:pPr>
              <w:pStyle w:val="null3"/>
            </w:pPr>
            <w:r>
              <w:rPr/>
              <w:t>供应商结合项目实际情况提供针对本项目的团队配备方案，内容至少包括：1、人员配备齐全、结构合理，安排计划及分配工作情况表；2、人员配备能力完备等；3、内控制度：具有管理组织机构、问责机制、监督机制、自查制度。 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（1）服务方案及供应商认为有必要提供的其他内容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提供针对本项目提供售后服务方案，内容至少包含：1.售后时间的及时性；2.故障服务管理方案；3.硬件巡检、系统巡检措施。 方案内容全面详细、阐述条理清晰、配置合理，能有效保障本项目实施得6分，每有一项缺项扣2分，每有一处内容存在缺陷，扣1分，扣完为止。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（1）服务方案及供应商认为有必要提供的其他内容</w:t>
            </w:r>
          </w:p>
        </w:tc>
      </w:tr>
      <w:tr>
        <w:tc>
          <w:tcPr>
            <w:tcW w:type="dxa" w:w="831"/>
            <w:vMerge/>
          </w:tcPr>
          <w:p/>
        </w:tc>
        <w:tc>
          <w:tcPr>
            <w:tcW w:type="dxa" w:w="1661"/>
          </w:tcPr>
          <w:p>
            <w:pPr>
              <w:pStyle w:val="null3"/>
            </w:pPr>
            <w:r>
              <w:rPr/>
              <w:t>培训服务方案</w:t>
            </w:r>
          </w:p>
        </w:tc>
        <w:tc>
          <w:tcPr>
            <w:tcW w:type="dxa" w:w="2492"/>
          </w:tcPr>
          <w:p>
            <w:pPr>
              <w:pStyle w:val="null3"/>
            </w:pPr>
            <w:r>
              <w:rPr/>
              <w:t>供应商提供针对本项目的培训服务方案，内容至少包括：1.人员培训；2.培训内容；3、提供≥1天现场系统运行维护培训方案。 方案内容全面详细、阐述条理清晰、配置合理，能有效保障本项目实施得6分，每有一项缺项扣2分，每有一处内容存在缺陷，扣1分，扣完为止。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（1）服务方案及供应商认为有必要提供的其他内容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供应商提供针对本项目的重难点分析及合理化建议。 1、内容合理、阐述条理清晰得3分； 2、内容未贴合项目实际情况进行论述得1分； 3、未提供不得分。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（1）服务方案及供应商认为有必要提供的其他内容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提供2021年1月1日以来类似项目合同，每提供一个得2分，满分10分。以合同（至少包含合同首页、金额、签字盖章页等）签订日期为准，提供合同复印件加盖公章。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满足招标文件要求且投标价格最低的投标报价为评标基准价，其价格分为满分。其他供应商的价格分统一按照下列公式计算：投标报价得分=（评标基准价/投标报价）×投标报价总分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供应商提供针对本项目的整体理解方案。 1、充分理解本项目服务需求对项目现状和整体认知的理解，思路清晰明确得6分； 2、理解方案完整合理，但还有可以优化空间得3分； 3、方案内容有缺陷、表述前后不一致、套用其他项目方案或与项目需求匹配性差得1分； 4、未提供不得分。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测评方案</w:t>
            </w:r>
          </w:p>
        </w:tc>
        <w:tc>
          <w:tcPr>
            <w:tcW w:type="dxa" w:w="2492"/>
          </w:tcPr>
          <w:p>
            <w:pPr>
              <w:pStyle w:val="null3"/>
            </w:pPr>
            <w:r>
              <w:rPr/>
              <w:t>供应商提供项目测评方案。 方案内容至少包含:1、测评流程；2、测评指标；3、测评方法；4、系统安全层面测评全面等内容。 方案所涉及的测评方案周密健全完善，项目工作成果科学严谨，项目服务全流程具体可行，运作流程流畅，能有效保障本项目实施得8分，每有一项缺项扣2分，每有一处内容存在缺陷，扣1分，扣完为止。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渗透测试方案</w:t>
            </w:r>
          </w:p>
        </w:tc>
        <w:tc>
          <w:tcPr>
            <w:tcW w:type="dxa" w:w="2492"/>
          </w:tcPr>
          <w:p>
            <w:pPr>
              <w:pStyle w:val="null3"/>
            </w:pPr>
            <w:r>
              <w:rPr/>
              <w:t>供应商提供项目渗透测试方案。 方案内容至少包含:1、渗透测试流程；2、渗透测试技术；3、渗透测试风险控制等内容。 方案所涉及的渗透测试方案周密健全完善，项目工作成果科学严谨，项目服务全流程具体可行，运作流程流畅，能有效保障本项目实施得9分，每有一项缺项扣3分，每有一处内容存在缺陷，扣1分，扣完为止。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建设整改咨询及安全加固方案</w:t>
            </w:r>
          </w:p>
        </w:tc>
        <w:tc>
          <w:tcPr>
            <w:tcW w:type="dxa" w:w="2492"/>
          </w:tcPr>
          <w:p>
            <w:pPr>
              <w:pStyle w:val="null3"/>
            </w:pPr>
            <w:r>
              <w:rPr/>
              <w:t>供应商提供针对本项目建设整改咨询及安全加固方案，内容至少包含： 1、提供建设整改过程中相关的咨询服务； 2、协助采购人进行安全加固，制定安全整改方案和计划，实施安全整改工作。 方案内容全面详细、阐述条理清晰、配置合理，能有效保障本项目实施得6分，每有一项缺项扣3分，每有一处内容存在缺陷，扣1分，扣完为止。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供应商提供针对本项目不同阶段工作的进度要求，提供进度计划，计划包含：1、时间节点控制；2、资源配置计划；3、重点环节进度控制等等。 切合项目具体情况，能有效保障本项目实施得6分，每有一项缺项扣2分，每有一处内容存在缺陷，扣1分，扣完为止。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拟投入人员方案</w:t>
            </w:r>
          </w:p>
        </w:tc>
        <w:tc>
          <w:tcPr>
            <w:tcW w:type="dxa" w:w="2492"/>
          </w:tcPr>
          <w:p>
            <w:pPr>
              <w:pStyle w:val="null3"/>
            </w:pPr>
            <w:r>
              <w:rPr/>
              <w:t>供应商提供针对本项目拟投入的工作组成员的情况说明及证明材料。 方案内容至少包含:1、拟投入本项目所有测评人员需具有1年或1年以上测评工作经验（提供承诺函）；2、拟投入的工作组成员不少于10人，其中现场测评人员不得少于6人；3、工作组成员管理组织架构，人员分工和工作职责划分、业务管理流程等内容。 方案所涉及的拟投入的工作组成员管理组织架构清晰，人员分工和工作职责划分明确、业务管理流程详细，能有效保障本项目实施得6分，每有一项缺项扣2分，每有一处内容存在缺陷，扣1分，扣完为止。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实施保障</w:t>
            </w:r>
          </w:p>
        </w:tc>
        <w:tc>
          <w:tcPr>
            <w:tcW w:type="dxa" w:w="2492"/>
          </w:tcPr>
          <w:p>
            <w:pPr>
              <w:pStyle w:val="null3"/>
            </w:pPr>
            <w:r>
              <w:rPr/>
              <w:t>供应商需具备网络安全等级保护测评与检测的能力，具备《网络安全等级保护测评与检测评估机构服务认证证书》得2分，未提供不得分。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项目负责人</w:t>
            </w:r>
          </w:p>
        </w:tc>
        <w:tc>
          <w:tcPr>
            <w:tcW w:type="dxa" w:w="2492"/>
          </w:tcPr>
          <w:p>
            <w:pPr>
              <w:pStyle w:val="null3"/>
            </w:pPr>
            <w:r>
              <w:rPr/>
              <w:t>拟承担本项目的项目负责人具备高级测评师证书、注册信息安全专业人员（CISP）证书提供1份得1分，满分2分，未提供不得分。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（2）人员表</w:t>
            </w:r>
          </w:p>
        </w:tc>
      </w:tr>
      <w:tr>
        <w:tc>
          <w:tcPr>
            <w:tcW w:type="dxa" w:w="831"/>
            <w:vMerge/>
          </w:tcPr>
          <w:p/>
        </w:tc>
        <w:tc>
          <w:tcPr>
            <w:tcW w:type="dxa" w:w="1661"/>
          </w:tcPr>
          <w:p>
            <w:pPr>
              <w:pStyle w:val="null3"/>
            </w:pPr>
            <w:r>
              <w:rPr/>
              <w:t>拟派项目经理</w:t>
            </w:r>
          </w:p>
        </w:tc>
        <w:tc>
          <w:tcPr>
            <w:tcW w:type="dxa" w:w="2492"/>
          </w:tcPr>
          <w:p>
            <w:pPr>
              <w:pStyle w:val="null3"/>
            </w:pPr>
            <w:r>
              <w:rPr/>
              <w:t>拟派项目经理具备高级测评师证书、信息安全保障人员（CISAW）风险管理方向认证证书提供1份得1分，满分2分，未提供不得分。（相同人员证书不重复计分）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（2）人员表</w:t>
            </w:r>
          </w:p>
        </w:tc>
      </w:tr>
      <w:tr>
        <w:tc>
          <w:tcPr>
            <w:tcW w:type="dxa" w:w="831"/>
            <w:vMerge/>
          </w:tcPr>
          <w:p/>
        </w:tc>
        <w:tc>
          <w:tcPr>
            <w:tcW w:type="dxa" w:w="1661"/>
          </w:tcPr>
          <w:p>
            <w:pPr>
              <w:pStyle w:val="null3"/>
            </w:pPr>
            <w:r>
              <w:rPr/>
              <w:t>拟投入本项目渗透测试工程师</w:t>
            </w:r>
          </w:p>
        </w:tc>
        <w:tc>
          <w:tcPr>
            <w:tcW w:type="dxa" w:w="2492"/>
          </w:tcPr>
          <w:p>
            <w:pPr>
              <w:pStyle w:val="null3"/>
            </w:pPr>
            <w:r>
              <w:rPr/>
              <w:t>拟投入本项目渗透测试工程师应具备渗透相关专业资质证书，每提供一个得1分，满分2分。（相同人员证书不重复计分）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（2）人员表</w:t>
            </w:r>
          </w:p>
        </w:tc>
      </w:tr>
      <w:tr>
        <w:tc>
          <w:tcPr>
            <w:tcW w:type="dxa" w:w="831"/>
            <w:vMerge/>
          </w:tcPr>
          <w:p/>
        </w:tc>
        <w:tc>
          <w:tcPr>
            <w:tcW w:type="dxa" w:w="1661"/>
          </w:tcPr>
          <w:p>
            <w:pPr>
              <w:pStyle w:val="null3"/>
            </w:pPr>
            <w:r>
              <w:rPr/>
              <w:t>拟派项目质量负责人</w:t>
            </w:r>
          </w:p>
        </w:tc>
        <w:tc>
          <w:tcPr>
            <w:tcW w:type="dxa" w:w="2492"/>
          </w:tcPr>
          <w:p>
            <w:pPr>
              <w:pStyle w:val="null3"/>
            </w:pPr>
            <w:r>
              <w:rPr/>
              <w:t>拟派项目质量负责人具备中级或以上测评师证书、CIIP-A证书提供1份得1分，满分2分，未提供不得分。（相同人员证书不重复计分）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（2）人员表</w:t>
            </w:r>
          </w:p>
        </w:tc>
      </w:tr>
      <w:tr>
        <w:tc>
          <w:tcPr>
            <w:tcW w:type="dxa" w:w="831"/>
            <w:vMerge/>
          </w:tcPr>
          <w:p/>
        </w:tc>
        <w:tc>
          <w:tcPr>
            <w:tcW w:type="dxa" w:w="1661"/>
          </w:tcPr>
          <w:p>
            <w:pPr>
              <w:pStyle w:val="null3"/>
            </w:pPr>
            <w:r>
              <w:rPr/>
              <w:t>项目组其他成员</w:t>
            </w:r>
          </w:p>
        </w:tc>
        <w:tc>
          <w:tcPr>
            <w:tcW w:type="dxa" w:w="2492"/>
          </w:tcPr>
          <w:p>
            <w:pPr>
              <w:pStyle w:val="null3"/>
            </w:pPr>
            <w:r>
              <w:rPr/>
              <w:t>项目组其他成员（不包含项目负责人、项目经理、质量负责人及渗透测试工程师），具备中级及以上专业技术人员资质证书，提供1个得0.5分，满分3分。（相同人员证书不重复计分）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（2）人员表</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供应商提供针对本项目的保密方案，方案至少包含：1、保密管理制度；2、对数据和信息安全保密；3、其他保密措施等。 切合项目具体情况，提出责任明确，服务定位，能有效保障本项目实施得6分，每有一项缺项扣2分，每有一处内容存在缺陷，扣1分，扣完为止。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供应商提供针对本项目的应急方案，方案至少包含：1、对后期服务的保证措施、能够处理各类紧急事项的措施；2、保证项目实施，能够保证在规定的时间解决问题；3、提供常规应急响应及灾难恢复服务。 切合项目具体情况，提出责任明确，服务定位，能有效保障本项目实施得6分，每有一项缺项扣2分，每有一处内容存在缺陷，扣1分，扣完为止。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供应商提供针对本项目的售后服务方案，方案至少包含：1、提供电话支持服务，并及时提出解决问题的建议和操作方法；2、配合检查服务、安全咨询服务。 切合项目具体情况，提出责任明确，服务定位，能有效保障本项目实施得6分，每有一项缺项扣3分，每有一处内容存在缺陷，扣1分，扣完为止。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1、合理化建议内容合理，针对性强、明确、全面得3分； 2、合理化建议内容不完善、表述前后不一致、套用其他项目内容等得1分； 3、未提供不得分。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（2）服务方案及供应商认为有必要提供的其他内容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提供2021年1月1日以来同类项目业绩，每提供一个得2分，满分10分。以合同（至少包含合同首页、金额、签字盖章页等）签订日期为准，提供合同复印件加盖公章。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价格</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满足招标文件要求且投标价格最低的投标报价为评标基准价，其价格分为满分。其他供应商的价格分统一按照下列公式计算：投标报价得分=（评标基准价/投标报价）×15</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详见附件：（1）服务方案及供应商认为有必要提供的其他内容</w:t>
      </w:r>
    </w:p>
    <w:p>
      <w:pPr>
        <w:pStyle w:val="null3"/>
        <w:ind w:firstLine="960"/>
      </w:pPr>
      <w:r>
        <w:rPr/>
        <w:t>详见附件：（1）开标一览表及分项报价表</w:t>
      </w:r>
    </w:p>
    <w:p>
      <w:pPr>
        <w:pStyle w:val="null3"/>
        <w:ind w:firstLine="960"/>
      </w:pPr>
      <w:r>
        <w:rPr/>
        <w:t>详见附件：（1）人员表</w:t>
      </w:r>
    </w:p>
    <w:p>
      <w:pPr>
        <w:pStyle w:val="null3"/>
        <w:ind w:firstLine="960"/>
      </w:pPr>
      <w:r>
        <w:rPr/>
        <w:t>详见附件：（1）商务及技术偏离表</w:t>
      </w:r>
    </w:p>
    <w:p>
      <w:pPr>
        <w:pStyle w:val="null3"/>
        <w:ind w:firstLine="960"/>
      </w:pPr>
      <w:r>
        <w:rPr/>
        <w:t>详见附件：业绩一览表</w:t>
      </w:r>
    </w:p>
    <w:p>
      <w:pPr>
        <w:pStyle w:val="null3"/>
        <w:ind w:firstLine="960"/>
      </w:pPr>
      <w:r>
        <w:rPr/>
        <w:t>详见附件：资格响应表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详见附件：（2）开标一览表及分项报价表</w:t>
      </w:r>
    </w:p>
    <w:p>
      <w:pPr>
        <w:pStyle w:val="null3"/>
        <w:ind w:firstLine="960"/>
      </w:pPr>
      <w:r>
        <w:rPr/>
        <w:t>详见附件：（2）商务及技术偏离表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详见附件：（2）人员表</w:t>
      </w:r>
    </w:p>
    <w:p>
      <w:pPr>
        <w:pStyle w:val="null3"/>
        <w:ind w:firstLine="960"/>
      </w:pPr>
      <w:r>
        <w:rPr/>
        <w:t>详见附件：（2）服务方案及供应商认为有必要提供的其他内容</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