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32" w:firstLine="4200" w:firstLineChars="2000"/>
        <w:rPr>
          <w:rFonts w:hint="eastAsia" w:ascii="仿宋_GB2312" w:hAnsi="仿宋_GB2312" w:eastAsia="仿宋_GB2312" w:cs="仿宋_GB2312"/>
          <w:b/>
          <w:sz w:val="28"/>
          <w:szCs w:val="28"/>
          <w:highlight w:val="none"/>
        </w:rPr>
      </w:pPr>
      <w:r>
        <w:t xml:space="preserve"> </w:t>
      </w:r>
      <w:r>
        <w:rPr>
          <w:rFonts w:hint="eastAsia" w:ascii="仿宋_GB2312" w:hAnsi="仿宋_GB2312" w:eastAsia="仿宋_GB2312" w:cs="仿宋_GB2312"/>
          <w:b/>
          <w:sz w:val="28"/>
          <w:szCs w:val="28"/>
          <w:highlight w:val="none"/>
        </w:rPr>
        <w:t>合同编号：</w:t>
      </w:r>
    </w:p>
    <w:p>
      <w:pPr>
        <w:spacing w:line="360" w:lineRule="auto"/>
        <w:ind w:right="32"/>
        <w:jc w:val="center"/>
        <w:rPr>
          <w:rFonts w:hint="eastAsia" w:ascii="仿宋_GB2312" w:hAnsi="仿宋_GB2312" w:eastAsia="仿宋_GB2312" w:cs="仿宋_GB2312"/>
          <w:b/>
          <w:sz w:val="12"/>
          <w:szCs w:val="44"/>
          <w:highlight w:val="none"/>
        </w:rPr>
      </w:pPr>
    </w:p>
    <w:p>
      <w:pPr>
        <w:spacing w:line="360" w:lineRule="auto"/>
        <w:ind w:right="32"/>
        <w:jc w:val="center"/>
        <w:rPr>
          <w:rFonts w:hint="eastAsia" w:ascii="仿宋_GB2312" w:hAnsi="仿宋_GB2312" w:eastAsia="仿宋_GB2312" w:cs="仿宋_GB2312"/>
          <w:sz w:val="28"/>
          <w:szCs w:val="32"/>
          <w:highlight w:val="none"/>
        </w:rPr>
      </w:pPr>
      <w:bookmarkStart w:id="0" w:name="OLE_LINK8"/>
      <w:r>
        <w:rPr>
          <w:rFonts w:hint="eastAsia" w:ascii="仿宋_GB2312" w:hAnsi="仿宋_GB2312" w:eastAsia="仿宋_GB2312" w:cs="仿宋_GB2312"/>
          <w:bCs/>
          <w:sz w:val="44"/>
          <w:szCs w:val="44"/>
          <w:highlight w:val="none"/>
        </w:rPr>
        <w:t>管委会（LH3-5-320号）储备地块项目考古发掘配合服务项目</w:t>
      </w:r>
    </w:p>
    <w:bookmarkEnd w:id="0"/>
    <w:p>
      <w:pPr>
        <w:widowControl/>
        <w:spacing w:before="120" w:beforeLines="50" w:after="120" w:afterLines="50" w:line="360" w:lineRule="auto"/>
        <w:rPr>
          <w:rFonts w:hint="eastAsia" w:ascii="仿宋_GB2312" w:hAnsi="仿宋_GB2312" w:eastAsia="仿宋_GB2312" w:cs="仿宋_GB2312"/>
          <w:b/>
          <w:sz w:val="54"/>
          <w:szCs w:val="32"/>
          <w:highlight w:val="none"/>
        </w:rPr>
      </w:pPr>
    </w:p>
    <w:p>
      <w:pPr>
        <w:widowControl/>
        <w:spacing w:before="120" w:beforeLines="50" w:after="120" w:afterLines="50" w:line="360" w:lineRule="auto"/>
        <w:jc w:val="center"/>
        <w:rPr>
          <w:rFonts w:hint="eastAsia" w:ascii="仿宋_GB2312" w:hAnsi="仿宋_GB2312" w:eastAsia="仿宋_GB2312" w:cs="仿宋_GB2312"/>
          <w:b/>
          <w:sz w:val="54"/>
          <w:szCs w:val="32"/>
          <w:highlight w:val="none"/>
        </w:rPr>
      </w:pPr>
    </w:p>
    <w:p>
      <w:pPr>
        <w:pStyle w:val="2"/>
        <w:spacing w:line="360" w:lineRule="auto"/>
        <w:rPr>
          <w:rFonts w:hint="eastAsia" w:ascii="仿宋_GB2312" w:hAnsi="仿宋_GB2312" w:eastAsia="仿宋_GB2312" w:cs="仿宋_GB2312"/>
          <w:sz w:val="54"/>
          <w:szCs w:val="32"/>
          <w:highlight w:val="none"/>
        </w:rPr>
      </w:pPr>
    </w:p>
    <w:p>
      <w:pPr>
        <w:pStyle w:val="2"/>
        <w:spacing w:line="360" w:lineRule="auto"/>
        <w:rPr>
          <w:rFonts w:hint="eastAsia" w:ascii="仿宋_GB2312" w:hAnsi="仿宋_GB2312" w:eastAsia="仿宋_GB2312" w:cs="仿宋_GB2312"/>
          <w:sz w:val="44"/>
          <w:szCs w:val="32"/>
          <w:highlight w:val="none"/>
        </w:rPr>
      </w:pPr>
    </w:p>
    <w:p>
      <w:pPr>
        <w:pStyle w:val="2"/>
        <w:spacing w:line="360" w:lineRule="auto"/>
        <w:rPr>
          <w:rFonts w:hint="eastAsia" w:ascii="仿宋_GB2312" w:hAnsi="仿宋_GB2312" w:eastAsia="仿宋_GB2312" w:cs="仿宋_GB2312"/>
          <w:sz w:val="44"/>
          <w:szCs w:val="32"/>
          <w:highlight w:val="none"/>
        </w:rPr>
      </w:pPr>
    </w:p>
    <w:p>
      <w:pPr>
        <w:spacing w:line="360" w:lineRule="auto"/>
        <w:rPr>
          <w:rFonts w:hint="eastAsia" w:ascii="仿宋_GB2312" w:hAnsi="仿宋_GB2312" w:eastAsia="仿宋_GB2312" w:cs="仿宋_GB2312"/>
          <w:highlight w:val="none"/>
        </w:rPr>
      </w:pPr>
    </w:p>
    <w:p>
      <w:pPr>
        <w:spacing w:line="360" w:lineRule="auto"/>
        <w:rPr>
          <w:rFonts w:hint="eastAsia" w:ascii="仿宋_GB2312" w:hAnsi="仿宋_GB2312" w:eastAsia="仿宋_GB2312" w:cs="仿宋_GB2312"/>
          <w:highlight w:val="none"/>
        </w:rPr>
      </w:pPr>
    </w:p>
    <w:p>
      <w:pPr>
        <w:spacing w:line="360" w:lineRule="auto"/>
        <w:ind w:left="1058" w:leftChars="0" w:hanging="1058" w:hangingChars="378"/>
        <w:rPr>
          <w:rFonts w:hint="eastAsia" w:ascii="仿宋_GB2312" w:hAnsi="仿宋_GB2312" w:eastAsia="仿宋_GB2312" w:cs="仿宋_GB2312"/>
          <w:bCs/>
          <w:sz w:val="28"/>
          <w:szCs w:val="28"/>
          <w:highlight w:val="none"/>
          <w:u w:val="single"/>
          <w:lang w:val="en-US" w:eastAsia="zh-CN"/>
        </w:rPr>
      </w:pPr>
      <w:r>
        <w:rPr>
          <w:rFonts w:hint="eastAsia" w:ascii="仿宋_GB2312" w:hAnsi="仿宋_GB2312" w:eastAsia="仿宋_GB2312" w:cs="仿宋_GB2312"/>
          <w:bCs/>
          <w:sz w:val="28"/>
          <w:szCs w:val="28"/>
          <w:highlight w:val="none"/>
        </w:rPr>
        <w:t>发包人：</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lang w:val="en-US" w:eastAsia="zh-CN"/>
        </w:rPr>
        <w:t xml:space="preserve"> </w:t>
      </w:r>
    </w:p>
    <w:p>
      <w:pPr>
        <w:spacing w:line="360" w:lineRule="auto"/>
        <w:ind w:left="1400" w:hanging="1400" w:hangingChars="5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承包人：</w:t>
      </w:r>
      <w:r>
        <w:rPr>
          <w:rFonts w:hint="eastAsia" w:ascii="仿宋_GB2312" w:hAnsi="仿宋_GB2312" w:eastAsia="仿宋_GB2312" w:cs="仿宋_GB2312"/>
          <w:bCs/>
          <w:sz w:val="28"/>
          <w:szCs w:val="28"/>
          <w:highlight w:val="none"/>
          <w:u w:val="single"/>
        </w:rPr>
        <w:t xml:space="preserve">                                                </w:t>
      </w:r>
    </w:p>
    <w:p>
      <w:pPr>
        <w:spacing w:line="360" w:lineRule="auto"/>
        <w:ind w:firstLine="1405" w:firstLineChars="500"/>
        <w:rPr>
          <w:rFonts w:hint="eastAsia" w:ascii="仿宋_GB2312" w:hAnsi="仿宋_GB2312" w:eastAsia="仿宋_GB2312" w:cs="仿宋_GB2312"/>
          <w:b/>
          <w:sz w:val="28"/>
          <w:szCs w:val="28"/>
          <w:highlight w:val="none"/>
        </w:rPr>
      </w:pPr>
    </w:p>
    <w:p>
      <w:pPr>
        <w:pStyle w:val="2"/>
        <w:spacing w:line="360" w:lineRule="auto"/>
        <w:rPr>
          <w:rFonts w:hint="eastAsia" w:ascii="仿宋_GB2312" w:hAnsi="仿宋_GB2312" w:eastAsia="仿宋_GB2312" w:cs="仿宋_GB2312"/>
          <w:b w:val="0"/>
          <w:szCs w:val="28"/>
          <w:highlight w:val="none"/>
        </w:rPr>
      </w:pPr>
    </w:p>
    <w:p>
      <w:pPr>
        <w:rPr>
          <w:rFonts w:hint="eastAsia" w:ascii="仿宋_GB2312" w:hAnsi="仿宋_GB2312" w:eastAsia="仿宋_GB2312" w:cs="仿宋_GB2312"/>
          <w:b w:val="0"/>
          <w:szCs w:val="28"/>
          <w:highlight w:val="none"/>
        </w:rPr>
      </w:pPr>
    </w:p>
    <w:p>
      <w:pPr>
        <w:pStyle w:val="2"/>
        <w:rPr>
          <w:rFonts w:hint="eastAsia" w:ascii="仿宋_GB2312" w:hAnsi="仿宋_GB2312" w:eastAsia="仿宋_GB2312" w:cs="仿宋_GB2312"/>
          <w:b w:val="0"/>
          <w:szCs w:val="28"/>
          <w:highlight w:val="none"/>
        </w:rPr>
      </w:pPr>
    </w:p>
    <w:p>
      <w:pPr>
        <w:rPr>
          <w:rFonts w:hint="eastAsia"/>
        </w:rPr>
      </w:pPr>
    </w:p>
    <w:p>
      <w:pPr>
        <w:rPr>
          <w:rFonts w:hint="eastAsia" w:ascii="仿宋_GB2312" w:hAnsi="仿宋_GB2312" w:eastAsia="仿宋_GB2312" w:cs="仿宋_GB2312"/>
          <w:b w:val="0"/>
          <w:szCs w:val="28"/>
          <w:highlight w:val="none"/>
        </w:rPr>
      </w:pPr>
    </w:p>
    <w:p>
      <w:pPr>
        <w:pStyle w:val="2"/>
        <w:rPr>
          <w:rFonts w:hint="eastAsia" w:ascii="仿宋_GB2312" w:hAnsi="仿宋_GB2312" w:eastAsia="仿宋_GB2312" w:cs="仿宋_GB2312"/>
          <w:b w:val="0"/>
          <w:szCs w:val="28"/>
          <w:highlight w:val="none"/>
        </w:rPr>
      </w:pPr>
    </w:p>
    <w:p>
      <w:pPr>
        <w:rPr>
          <w:rFonts w:hint="eastAsia"/>
        </w:rPr>
      </w:pPr>
      <w:bookmarkStart w:id="1" w:name="_GoBack"/>
      <w:bookmarkEnd w:id="1"/>
    </w:p>
    <w:p>
      <w:pPr>
        <w:rPr>
          <w:rFonts w:hint="eastAsia" w:ascii="仿宋_GB2312" w:hAnsi="仿宋_GB2312" w:eastAsia="仿宋_GB2312" w:cs="仿宋_GB2312"/>
          <w:b w:val="0"/>
          <w:szCs w:val="28"/>
          <w:highlight w:val="none"/>
        </w:rPr>
      </w:pPr>
    </w:p>
    <w:p>
      <w:pPr>
        <w:pStyle w:val="2"/>
        <w:rPr>
          <w:rFonts w:hint="eastAsia"/>
        </w:rPr>
      </w:pPr>
    </w:p>
    <w:p>
      <w:pPr>
        <w:spacing w:line="360" w:lineRule="auto"/>
        <w:jc w:val="center"/>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管委会（LH3-5-320号）储备地块项目考古发掘配合</w:t>
      </w:r>
    </w:p>
    <w:p>
      <w:pPr>
        <w:spacing w:line="360" w:lineRule="auto"/>
        <w:jc w:val="center"/>
        <w:rPr>
          <w:rFonts w:hint="eastAsia" w:ascii="仿宋_GB2312" w:hAnsi="仿宋_GB2312" w:eastAsia="仿宋_GB2312" w:cs="仿宋_GB2312"/>
          <w:b/>
          <w:sz w:val="24"/>
          <w:szCs w:val="24"/>
          <w:highlight w:val="none"/>
        </w:rPr>
      </w:pPr>
      <w:r>
        <w:rPr>
          <w:rFonts w:hint="eastAsia" w:ascii="仿宋_GB2312" w:hAnsi="仿宋_GB2312" w:eastAsia="仿宋_GB2312" w:cs="仿宋_GB2312"/>
          <w:bCs/>
          <w:sz w:val="32"/>
          <w:szCs w:val="32"/>
          <w:highlight w:val="none"/>
        </w:rPr>
        <w:t>服务项目合同</w:t>
      </w:r>
    </w:p>
    <w:p>
      <w:pPr>
        <w:spacing w:line="360" w:lineRule="auto"/>
        <w:jc w:val="center"/>
        <w:rPr>
          <w:rFonts w:hint="eastAsia" w:ascii="仿宋_GB2312" w:hAnsi="仿宋_GB2312" w:eastAsia="仿宋_GB2312" w:cs="仿宋_GB2312"/>
          <w:b/>
          <w:sz w:val="24"/>
          <w:szCs w:val="24"/>
          <w:highlight w:val="none"/>
        </w:rPr>
      </w:pP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甲方：</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 xml:space="preserve"> </w:t>
      </w:r>
    </w:p>
    <w:p>
      <w:pPr>
        <w:pStyle w:val="2"/>
        <w:adjustRightIn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val="0"/>
          <w:sz w:val="24"/>
          <w:highlight w:val="none"/>
        </w:rPr>
        <w:t>乙方：</w:t>
      </w:r>
      <w:r>
        <w:rPr>
          <w:rFonts w:hint="eastAsia" w:ascii="仿宋_GB2312" w:hAnsi="仿宋_GB2312" w:eastAsia="仿宋_GB2312" w:cs="仿宋_GB2312"/>
          <w:b w:val="0"/>
          <w:sz w:val="24"/>
          <w:highlight w:val="none"/>
          <w:u w:val="single"/>
        </w:rPr>
        <w:t xml:space="preserve">                       </w:t>
      </w:r>
      <w:r>
        <w:rPr>
          <w:rFonts w:hint="eastAsia" w:ascii="仿宋_GB2312" w:hAnsi="仿宋_GB2312" w:eastAsia="仿宋_GB2312" w:cs="仿宋_GB2312"/>
          <w:b w:val="0"/>
          <w:bCs/>
          <w:sz w:val="24"/>
          <w:highlight w:val="none"/>
          <w:u w:val="single"/>
        </w:rPr>
        <w:t xml:space="preserve">                      </w:t>
      </w:r>
      <w:r>
        <w:rPr>
          <w:rFonts w:hint="eastAsia" w:ascii="仿宋_GB2312" w:hAnsi="仿宋_GB2312" w:eastAsia="仿宋_GB2312" w:cs="仿宋_GB2312"/>
          <w:b w:val="0"/>
          <w:bCs/>
          <w:sz w:val="24"/>
          <w:highlight w:val="none"/>
        </w:rPr>
        <w:t xml:space="preserve"> </w:t>
      </w:r>
      <w:r>
        <w:rPr>
          <w:rFonts w:hint="eastAsia" w:ascii="仿宋_GB2312" w:hAnsi="仿宋_GB2312" w:eastAsia="仿宋_GB2312" w:cs="仿宋_GB2312"/>
          <w:sz w:val="24"/>
          <w:highlight w:val="none"/>
        </w:rPr>
        <w:t xml:space="preserve">  </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根据《中华人民共和国民法典》及其它有关法律、法规的规定，甲乙双方本着平等、自愿和诚实信用的原则，就甲方</w:t>
      </w:r>
      <w:r>
        <w:rPr>
          <w:rFonts w:hint="eastAsia" w:ascii="仿宋_GB2312" w:hAnsi="仿宋_GB2312" w:eastAsia="仿宋_GB2312" w:cs="仿宋_GB2312"/>
          <w:sz w:val="24"/>
          <w:szCs w:val="24"/>
          <w:highlight w:val="none"/>
          <w:u w:val="single"/>
        </w:rPr>
        <w:t>管委会（LH3-5-320号）储备地块项目考古发掘配合服务项目</w:t>
      </w:r>
      <w:r>
        <w:rPr>
          <w:rFonts w:hint="eastAsia" w:ascii="仿宋_GB2312" w:hAnsi="仿宋_GB2312" w:eastAsia="仿宋_GB2312" w:cs="仿宋_GB2312"/>
          <w:sz w:val="24"/>
          <w:szCs w:val="24"/>
          <w:highlight w:val="none"/>
        </w:rPr>
        <w:t>等事宜，经充分协商达成一致，特订立本合同。</w:t>
      </w:r>
    </w:p>
    <w:p>
      <w:pPr>
        <w:tabs>
          <w:tab w:val="left" w:pos="360"/>
        </w:tabs>
        <w:adjustRightIn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一、项目名称及地址</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1、项目名称：</w:t>
      </w:r>
      <w:r>
        <w:rPr>
          <w:rFonts w:hint="eastAsia" w:ascii="仿宋_GB2312" w:hAnsi="仿宋_GB2312" w:eastAsia="仿宋_GB2312" w:cs="仿宋_GB2312"/>
          <w:sz w:val="24"/>
          <w:szCs w:val="24"/>
          <w:highlight w:val="none"/>
          <w:u w:val="single"/>
        </w:rPr>
        <w:t>管委会（LH3-5-320号）储备地块项目考古发掘配合服务项目</w:t>
      </w:r>
      <w:r>
        <w:rPr>
          <w:rFonts w:hint="eastAsia" w:ascii="仿宋_GB2312" w:hAnsi="仿宋_GB2312" w:eastAsia="仿宋_GB2312" w:cs="仿宋_GB2312"/>
          <w:sz w:val="24"/>
          <w:szCs w:val="24"/>
          <w:highlight w:val="none"/>
        </w:rPr>
        <w:t xml:space="preserve"> </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2、项目地址：</w:t>
      </w:r>
      <w:r>
        <w:rPr>
          <w:rFonts w:hint="eastAsia" w:ascii="仿宋_GB2312" w:hAnsi="仿宋_GB2312" w:eastAsia="仿宋_GB2312" w:cs="仿宋_GB2312"/>
          <w:sz w:val="24"/>
          <w:szCs w:val="24"/>
          <w:highlight w:val="none"/>
          <w:u w:val="single"/>
        </w:rPr>
        <w:t>管委会储备地块（LH3-5-320号）东邻未央区张家庄地块、西邻管委会收储秦宝公司储备地、南邻管委会收储陕西储备物资管理局五三三处（库区）储备地、北邻铁路专用线，土地面积为11567.37平方米（折合17.35亩）</w:t>
      </w:r>
      <w:r>
        <w:rPr>
          <w:rFonts w:hint="eastAsia" w:ascii="仿宋_GB2312" w:hAnsi="仿宋_GB2312" w:eastAsia="仿宋_GB2312" w:cs="仿宋_GB2312"/>
          <w:sz w:val="24"/>
          <w:szCs w:val="24"/>
          <w:highlight w:val="none"/>
        </w:rPr>
        <w:t xml:space="preserve">。 </w:t>
      </w:r>
    </w:p>
    <w:p>
      <w:pPr>
        <w:adjustRightInd w:val="0"/>
        <w:spacing w:line="360" w:lineRule="auto"/>
        <w:ind w:firstLine="482"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b/>
          <w:bCs/>
          <w:sz w:val="24"/>
          <w:szCs w:val="24"/>
          <w:highlight w:val="none"/>
        </w:rPr>
        <w:t>二、服务内容</w:t>
      </w:r>
      <w:r>
        <w:rPr>
          <w:rFonts w:hint="eastAsia" w:ascii="仿宋_GB2312" w:hAnsi="仿宋_GB2312" w:eastAsia="仿宋_GB2312" w:cs="仿宋_GB2312"/>
          <w:sz w:val="24"/>
          <w:szCs w:val="24"/>
          <w:highlight w:val="none"/>
        </w:rPr>
        <w:t>：</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工作区域：管委会储备地块（LH3-5-320号）东邻未央区张家庄地块、西邻管委会收储秦宝公司储备地、南邻管委会收储陕西储备物资管理局五三三处（库区）储备地、北邻铁路专用线，土地面积为11567.37平方米（折合17.35亩）。</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工作内容：上述地块前期完成文物勘探，根据文勘报告显示发现灰坑、古井等古遗迹，根据《西安市不可移动文物保护条例》等法律法规相关规定及市文物局要求，针对考古勘探工作报告发现的灰坑44处、井5眼，配合考古发掘技术单位完成发掘土方工作。</w:t>
      </w:r>
    </w:p>
    <w:p>
      <w:pPr>
        <w:adjustRightIn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lang w:val="en-US" w:eastAsia="zh-CN"/>
        </w:rPr>
        <w:t>三</w:t>
      </w:r>
      <w:r>
        <w:rPr>
          <w:rFonts w:hint="eastAsia" w:ascii="仿宋_GB2312" w:hAnsi="仿宋_GB2312" w:eastAsia="仿宋_GB2312" w:cs="仿宋_GB2312"/>
          <w:b/>
          <w:bCs/>
          <w:sz w:val="24"/>
          <w:szCs w:val="24"/>
          <w:highlight w:val="none"/>
        </w:rPr>
        <w:t>、技术要求</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1.服从考古发掘技术服务单位及甲方人员管理，自觉遵守甲方的有关规章制度；</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2.严格遵守安全生产、文明施工及考古相关规范，承担配合考古技术发掘作业过程中的安全责任，严格执行政府有关部门的政策及法规；</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3.严格按照考古发掘技术服务单位要求进行现场作业及配合工作；</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4.根据现场实际进度需要配备足够数量的人员，确保不影响考古发掘工作；</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5.对发掘中可能存在安全隐患的部位(如:基坑、边坡、沟槽、通道等)进行支护、加固，确保施工、确保考古技术发掘过程中的人身安全并提供必要的保障措施及设施；</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6.负责周边及现场协调工作，确保考古发掘工作正常进行。</w:t>
      </w:r>
    </w:p>
    <w:p>
      <w:pPr>
        <w:adjustRightInd w:val="0"/>
        <w:spacing w:line="360" w:lineRule="auto"/>
        <w:ind w:firstLine="482" w:firstLineChars="200"/>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四、服务要求</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（一）能够配合采购人对于项目进度要求，配备合理的技术人员和劳务作业人员，按时完成文物发掘工作并出具技术成果。</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（二）按时参加采购人组织的项目工作相关的会议。</w:t>
      </w:r>
    </w:p>
    <w:p>
      <w:pPr>
        <w:adjustRightInd w:val="0"/>
        <w:spacing w:line="360" w:lineRule="auto"/>
        <w:ind w:firstLine="482" w:firstLineChars="200"/>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五、其他</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（一）安全要求</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1.供应商应对自身安全负责，要遵守国家的相关安全规定。供应商应严格执行《考古工地安全协议》的相关要求，遵守考古工地的安全规定，确保考古工地的施工安全、</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人员安全和文物安全。</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3.供应商在考古发掘工作中对发现的古遗址、古墓葬等地下文物古迹负有看管保护的责任，并对相关信息负有保密的责任。</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（二）质量验收标准或规范</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（1）《中华人民共和国文物保护法》；</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（2）《陕西省文物保护条例》；</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（3）《西安市不可移动文物保护条例》；</w:t>
      </w:r>
    </w:p>
    <w:p>
      <w:pPr>
        <w:adjustRightInd w:val="0"/>
        <w:spacing w:line="360" w:lineRule="auto"/>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u w:val="single"/>
        </w:rPr>
        <w:t>（4）《考古发掘管理办法》；</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u w:val="single"/>
        </w:rPr>
        <w:t>（5）《田野考古工作规程》；</w:t>
      </w:r>
      <w:r>
        <w:rPr>
          <w:rFonts w:hint="eastAsia" w:ascii="仿宋_GB2312" w:hAnsi="仿宋_GB2312" w:eastAsia="仿宋_GB2312" w:cs="仿宋_GB2312"/>
          <w:sz w:val="24"/>
          <w:szCs w:val="24"/>
          <w:highlight w:val="none"/>
        </w:rPr>
        <w:t>。</w:t>
      </w:r>
    </w:p>
    <w:p>
      <w:pPr>
        <w:adjustRightInd w:val="0"/>
        <w:spacing w:line="360" w:lineRule="auto"/>
        <w:ind w:firstLine="482" w:firstLineChars="20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kern w:val="0"/>
          <w:sz w:val="24"/>
          <w:szCs w:val="24"/>
          <w:highlight w:val="none"/>
        </w:rPr>
        <w:t>三、</w:t>
      </w:r>
      <w:r>
        <w:rPr>
          <w:rFonts w:hint="eastAsia" w:ascii="仿宋_GB2312" w:hAnsi="仿宋_GB2312" w:eastAsia="仿宋_GB2312" w:cs="仿宋_GB2312"/>
          <w:b/>
          <w:sz w:val="24"/>
          <w:szCs w:val="24"/>
          <w:highlight w:val="none"/>
        </w:rPr>
        <w:t>合同价款</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1、合同总价：（大写）人民币</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(小写:¥</w:t>
      </w:r>
      <w:r>
        <w:rPr>
          <w:rFonts w:hint="eastAsia" w:ascii="仿宋_GB2312" w:hAnsi="仿宋_GB2312" w:eastAsia="仿宋_GB2312" w:cs="仿宋_GB2312"/>
          <w:sz w:val="24"/>
          <w:szCs w:val="24"/>
          <w:highlight w:val="none"/>
          <w:u w:val="single"/>
        </w:rPr>
        <w:t xml:space="preserve">   元</w:t>
      </w:r>
      <w:r>
        <w:rPr>
          <w:rFonts w:hint="eastAsia" w:ascii="仿宋_GB2312" w:hAnsi="仿宋_GB2312" w:eastAsia="仿宋_GB2312" w:cs="仿宋_GB2312"/>
          <w:sz w:val="24"/>
          <w:szCs w:val="24"/>
          <w:highlight w:val="none"/>
        </w:rPr>
        <w:t>)，合同总价一次性包死，不因任何因素而改变。(详见附件)。</w:t>
      </w:r>
    </w:p>
    <w:p>
      <w:pPr>
        <w:tabs>
          <w:tab w:val="left" w:pos="0"/>
        </w:tabs>
        <w:adjustRightIn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四、服务期限</w:t>
      </w:r>
    </w:p>
    <w:p>
      <w:pPr>
        <w:tabs>
          <w:tab w:val="left" w:pos="0"/>
        </w:tabs>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本项目服务期限与考古发掘技术项目服务期限一致。</w:t>
      </w:r>
    </w:p>
    <w:p>
      <w:pPr>
        <w:tabs>
          <w:tab w:val="left" w:pos="720"/>
        </w:tabs>
        <w:adjustRightIn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五、付款方式</w:t>
      </w:r>
    </w:p>
    <w:p>
      <w:pPr>
        <w:autoSpaceDE w:val="0"/>
        <w:autoSpaceDN w:val="0"/>
        <w:adjustRightIn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 付款条件说明： 合同签订后，乙方应向甲方提供等额增值税发票  ，达到付款条件起 15 日内，支付合同总金额的 40.00%。</w:t>
      </w:r>
    </w:p>
    <w:p>
      <w:pPr>
        <w:autoSpaceDE w:val="0"/>
        <w:autoSpaceDN w:val="0"/>
        <w:adjustRightIn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 付款条件说明： 本项目服务期结束后， 所有工作完成并经采购人验收合格且乙方应向甲方提供等额增值税发票 ，达到付款条件起 15 日内，支付合同总金额的 60.00%。</w:t>
      </w:r>
    </w:p>
    <w:p>
      <w:pPr>
        <w:autoSpaceDE w:val="0"/>
        <w:autoSpaceDN w:val="0"/>
        <w:adjustRightIn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六、双方的权利和义务</w:t>
      </w:r>
    </w:p>
    <w:p>
      <w:pPr>
        <w:tabs>
          <w:tab w:val="left" w:pos="720"/>
        </w:tabs>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(一)甲方的权利和义务</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1、应如期支付工作费用，以便乙方顺利开展工作。</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2、应协助乙方解决现场办公、用水、用电等问题。</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3、协助乙方协调土方开挖过程中项目外围关系，保证发掘工作有序进行。</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4、乙方负责墓葬土方开挖清理工作，涉及到的土方外运、回填及其它问题均由甲方负责。</w:t>
      </w:r>
    </w:p>
    <w:p>
      <w:pPr>
        <w:tabs>
          <w:tab w:val="left" w:pos="720"/>
        </w:tabs>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(二)乙方的权利和义务</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1、劳务人员数量配备，根据现场实际工作需要及考古发掘队要求自行调配。</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2、如需机械配合土方开挖，可要求甲方配合，由乙方承担相关机械作业费用。</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3、根据考古发掘的相关要求积极配合考古发掘队进行施工，严格按施工规范进行施工，确保工程按期完成。</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4、乙方承担考古发掘所需的民工及土方工程、安全保卫、支护加固等项目，根据现场考古发掘工程的需要配备足够的民工，并做好发掘过程中必须的支护加固等工作，确保安全施工。</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5、乙方应安排专职的安全员负责现场的施工安全；同时负责发掘工地的安全保卫工作，在工地四周设置安全警示标志，安装监控预警等设备。</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6、乙方负责安排足够的专职安全保卫人员，昼夜24小时在工地值班巡逻，并在每一个考古发掘位置上方架设摄像监控，做到全程无死角监控发掘过程。</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7、在施工中，严格按照国家、省、市、大兴管委会及甲方要求，做好安全文明施工、治污减霾等工作。</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8、应遵守甲方的各项工地规章制度，服从甲方、工程总承包单位的管理。</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9、进场人员不得有违法乱纪行为，如发生违法乱纪等行为，均与甲方无关。</w:t>
      </w: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10、在施工过程中严格遵守考古发掘及文物保护相关法律和规范，如因乙方保护不利或违规操作等原因造成文物损坏的，均与甲方无关。</w:t>
      </w:r>
    </w:p>
    <w:p>
      <w:pPr>
        <w:adjustRightInd w:val="0"/>
        <w:spacing w:line="360" w:lineRule="auto"/>
        <w:ind w:firstLine="482"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七、</w:t>
      </w:r>
      <w:r>
        <w:rPr>
          <w:rFonts w:hint="eastAsia" w:ascii="仿宋_GB2312" w:hAnsi="仿宋_GB2312" w:eastAsia="仿宋_GB2312" w:cs="仿宋_GB2312"/>
          <w:sz w:val="24"/>
          <w:szCs w:val="24"/>
          <w:highlight w:val="none"/>
        </w:rPr>
        <w:t>本合同如有未尽事宜，甲乙双方协商另行签订补充协议。</w:t>
      </w:r>
    </w:p>
    <w:p>
      <w:pPr>
        <w:adjustRightInd w:val="0"/>
        <w:spacing w:line="360" w:lineRule="auto"/>
        <w:ind w:firstLine="482" w:firstLineChars="20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bCs/>
          <w:sz w:val="24"/>
          <w:szCs w:val="24"/>
          <w:highlight w:val="none"/>
        </w:rPr>
        <w:t>八、</w:t>
      </w:r>
      <w:r>
        <w:rPr>
          <w:rFonts w:hint="eastAsia" w:ascii="仿宋_GB2312" w:hAnsi="仿宋_GB2312" w:eastAsia="仿宋_GB2312" w:cs="仿宋_GB2312"/>
          <w:sz w:val="24"/>
          <w:szCs w:val="24"/>
          <w:highlight w:val="none"/>
        </w:rPr>
        <w:t>因本合同履行发生争议，双方应友好协商解决，协商未果，双方有权向甲方所在地有管辖权的人民法院提起诉讼。</w:t>
      </w:r>
    </w:p>
    <w:p>
      <w:pPr>
        <w:adjustRightInd w:val="0"/>
        <w:spacing w:line="360" w:lineRule="auto"/>
        <w:ind w:firstLine="482"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九、</w:t>
      </w:r>
      <w:r>
        <w:rPr>
          <w:rFonts w:hint="eastAsia" w:ascii="仿宋_GB2312" w:hAnsi="仿宋_GB2312" w:eastAsia="仿宋_GB2312" w:cs="仿宋_GB2312"/>
          <w:sz w:val="24"/>
          <w:szCs w:val="24"/>
          <w:highlight w:val="none"/>
        </w:rPr>
        <w:t>本合同一式捌份，甲乙双方各执肆份，自签订之日起生效。</w:t>
      </w:r>
    </w:p>
    <w:p>
      <w:pPr>
        <w:pStyle w:val="2"/>
        <w:spacing w:line="360" w:lineRule="auto"/>
        <w:rPr>
          <w:rFonts w:hint="eastAsia" w:ascii="仿宋_GB2312" w:hAnsi="仿宋_GB2312" w:eastAsia="仿宋_GB2312" w:cs="仿宋_GB2312"/>
          <w:sz w:val="24"/>
          <w:highlight w:val="none"/>
        </w:rPr>
      </w:pPr>
    </w:p>
    <w:p>
      <w:pPr>
        <w:adjustRightIn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（本页为合同签署页，无正文）</w:t>
      </w:r>
    </w:p>
    <w:p>
      <w:pPr>
        <w:pStyle w:val="2"/>
        <w:spacing w:line="360" w:lineRule="auto"/>
        <w:rPr>
          <w:rFonts w:hint="eastAsia" w:ascii="仿宋_GB2312" w:hAnsi="仿宋_GB2312" w:eastAsia="仿宋_GB2312" w:cs="仿宋_GB2312"/>
          <w:sz w:val="24"/>
          <w:highlight w:val="none"/>
        </w:rPr>
      </w:pPr>
    </w:p>
    <w:tbl>
      <w:tblPr>
        <w:tblStyle w:val="3"/>
        <w:tblW w:w="0" w:type="auto"/>
        <w:jc w:val="center"/>
        <w:tblLayout w:type="fixed"/>
        <w:tblCellMar>
          <w:top w:w="0" w:type="dxa"/>
          <w:left w:w="108" w:type="dxa"/>
          <w:bottom w:w="0" w:type="dxa"/>
          <w:right w:w="108" w:type="dxa"/>
        </w:tblCellMar>
      </w:tblPr>
      <w:tblGrid>
        <w:gridCol w:w="4073"/>
        <w:gridCol w:w="321"/>
        <w:gridCol w:w="4128"/>
      </w:tblGrid>
      <w:tr>
        <w:tblPrEx>
          <w:tblCellMar>
            <w:top w:w="0" w:type="dxa"/>
            <w:left w:w="108" w:type="dxa"/>
            <w:bottom w:w="0" w:type="dxa"/>
            <w:right w:w="108" w:type="dxa"/>
          </w:tblCellMar>
        </w:tblPrEx>
        <w:trPr>
          <w:trHeight w:val="2032" w:hRule="atLeast"/>
          <w:jc w:val="center"/>
        </w:trPr>
        <w:tc>
          <w:tcPr>
            <w:tcW w:w="4073" w:type="dxa"/>
            <w:noWrap w:val="0"/>
            <w:vAlign w:val="top"/>
          </w:tcPr>
          <w:p>
            <w:pPr>
              <w:pStyle w:val="6"/>
              <w:tabs>
                <w:tab w:val="left" w:pos="580"/>
              </w:tabs>
              <w:autoSpaceDE w:val="0"/>
              <w:autoSpaceDN w:val="0"/>
              <w:adjustRightInd w:val="0"/>
              <w:snapToGrid w:val="0"/>
              <w:spacing w:line="360" w:lineRule="auto"/>
              <w:ind w:left="720" w:hanging="720" w:hangingChars="300"/>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甲方：</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（盖章）</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pStyle w:val="6"/>
              <w:tabs>
                <w:tab w:val="left" w:pos="580"/>
              </w:tabs>
              <w:autoSpaceDE w:val="0"/>
              <w:autoSpaceDN w:val="0"/>
              <w:adjustRightInd w:val="0"/>
              <w:snapToGrid w:val="0"/>
              <w:spacing w:line="360" w:lineRule="auto"/>
              <w:ind w:left="720" w:hanging="720" w:hangingChars="300"/>
              <w:jc w:val="both"/>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乙方：</w:t>
            </w:r>
            <w:r>
              <w:rPr>
                <w:rFonts w:hint="eastAsia" w:ascii="仿宋_GB2312" w:hAnsi="仿宋_GB2312" w:eastAsia="仿宋_GB2312" w:cs="仿宋_GB2312"/>
                <w:sz w:val="24"/>
                <w:szCs w:val="24"/>
                <w:highlight w:val="none"/>
                <w:u w:val="single"/>
              </w:rPr>
              <w:t xml:space="preserve">         （盖章）</w:t>
            </w:r>
          </w:p>
        </w:tc>
      </w:tr>
      <w:tr>
        <w:tblPrEx>
          <w:tblCellMar>
            <w:top w:w="0" w:type="dxa"/>
            <w:left w:w="108" w:type="dxa"/>
            <w:bottom w:w="0" w:type="dxa"/>
            <w:right w:w="108" w:type="dxa"/>
          </w:tblCellMar>
        </w:tblPrEx>
        <w:trPr>
          <w:trHeight w:val="1143" w:hRule="atLeast"/>
          <w:jc w:val="center"/>
        </w:trPr>
        <w:tc>
          <w:tcPr>
            <w:tcW w:w="4073"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法定代表人或其授权</w:t>
            </w:r>
          </w:p>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的代理人：（签字或盖章）</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法定代表人或其授权</w:t>
            </w:r>
          </w:p>
          <w:p>
            <w:pPr>
              <w:pStyle w:val="6"/>
              <w:tabs>
                <w:tab w:val="left" w:pos="580"/>
              </w:tabs>
              <w:adjustRightInd w:val="0"/>
              <w:snapToGrid w:val="0"/>
              <w:spacing w:line="360" w:lineRule="auto"/>
              <w:ind w:left="720" w:hanging="720" w:hangingChars="3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的代理人：（签字或盖章）</w:t>
            </w:r>
          </w:p>
        </w:tc>
      </w:tr>
      <w:tr>
        <w:tblPrEx>
          <w:tblCellMar>
            <w:top w:w="0" w:type="dxa"/>
            <w:left w:w="108" w:type="dxa"/>
            <w:bottom w:w="0" w:type="dxa"/>
            <w:right w:w="108" w:type="dxa"/>
          </w:tblCellMar>
        </w:tblPrEx>
        <w:trPr>
          <w:trHeight w:val="90" w:hRule="atLeast"/>
          <w:jc w:val="center"/>
        </w:trPr>
        <w:tc>
          <w:tcPr>
            <w:tcW w:w="4073" w:type="dxa"/>
            <w:noWrap w:val="0"/>
            <w:vAlign w:val="top"/>
          </w:tcPr>
          <w:p>
            <w:pPr>
              <w:pStyle w:val="6"/>
              <w:tabs>
                <w:tab w:val="left" w:pos="580"/>
              </w:tabs>
              <w:adjustRightInd w:val="0"/>
              <w:snapToGrid w:val="0"/>
              <w:spacing w:line="360" w:lineRule="auto"/>
              <w:jc w:val="left"/>
              <w:rPr>
                <w:rFonts w:hint="default" w:ascii="仿宋_GB2312" w:hAnsi="仿宋_GB2312" w:eastAsia="仿宋_GB2312" w:cs="仿宋_GB2312"/>
                <w:b/>
                <w:sz w:val="24"/>
                <w:szCs w:val="24"/>
                <w:highlight w:val="none"/>
                <w:lang w:val="en-US" w:eastAsia="zh-CN"/>
              </w:rPr>
            </w:pPr>
            <w:r>
              <w:rPr>
                <w:rFonts w:hint="eastAsia" w:ascii="仿宋_GB2312" w:hAnsi="仿宋_GB2312" w:eastAsia="仿宋_GB2312" w:cs="仿宋_GB2312"/>
                <w:sz w:val="24"/>
                <w:szCs w:val="24"/>
                <w:highlight w:val="none"/>
              </w:rPr>
              <w:t>住所：</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pStyle w:val="6"/>
              <w:tabs>
                <w:tab w:val="left" w:pos="580"/>
              </w:tabs>
              <w:adjustRightInd w:val="0"/>
              <w:snapToGrid w:val="0"/>
              <w:spacing w:line="360" w:lineRule="auto"/>
              <w:ind w:left="720" w:hanging="720" w:hangingChars="300"/>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住所：</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1173" w:hRule="atLeast"/>
          <w:jc w:val="center"/>
        </w:trPr>
        <w:tc>
          <w:tcPr>
            <w:tcW w:w="4073"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统一社会信用代码：</w:t>
            </w:r>
          </w:p>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 xml:space="preserve">  </w:t>
            </w:r>
          </w:p>
        </w:tc>
        <w:tc>
          <w:tcPr>
            <w:tcW w:w="321"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p>
        </w:tc>
        <w:tc>
          <w:tcPr>
            <w:tcW w:w="4128"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统一社会信用代码：</w:t>
            </w:r>
          </w:p>
          <w:p>
            <w:pPr>
              <w:pStyle w:val="6"/>
              <w:tabs>
                <w:tab w:val="left" w:pos="580"/>
              </w:tabs>
              <w:adjustRightInd w:val="0"/>
              <w:snapToGrid w:val="0"/>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691" w:hRule="atLeast"/>
          <w:jc w:val="center"/>
        </w:trPr>
        <w:tc>
          <w:tcPr>
            <w:tcW w:w="4073" w:type="dxa"/>
            <w:noWrap w:val="0"/>
            <w:vAlign w:val="top"/>
          </w:tcPr>
          <w:p>
            <w:pPr>
              <w:pStyle w:val="6"/>
              <w:tabs>
                <w:tab w:val="left" w:pos="580"/>
              </w:tabs>
              <w:adjustRightInd w:val="0"/>
              <w:snapToGrid w:val="0"/>
              <w:spacing w:line="360" w:lineRule="auto"/>
              <w:jc w:val="left"/>
              <w:rPr>
                <w:rFonts w:hint="default" w:ascii="仿宋_GB2312" w:hAnsi="仿宋_GB2312" w:eastAsia="仿宋_GB2312" w:cs="仿宋_GB2312"/>
                <w:b/>
                <w:sz w:val="24"/>
                <w:szCs w:val="24"/>
                <w:highlight w:val="none"/>
                <w:u w:val="single"/>
                <w:lang w:val="en-US" w:eastAsia="zh-CN"/>
              </w:rPr>
            </w:pPr>
            <w:r>
              <w:rPr>
                <w:rFonts w:hint="eastAsia" w:ascii="仿宋_GB2312" w:hAnsi="仿宋_GB2312" w:eastAsia="仿宋_GB2312" w:cs="仿宋_GB2312"/>
                <w:sz w:val="24"/>
                <w:szCs w:val="24"/>
                <w:highlight w:val="none"/>
              </w:rPr>
              <w:t>邮政编码：</w:t>
            </w:r>
            <w:r>
              <w:rPr>
                <w:rFonts w:hint="eastAsia" w:ascii="仿宋_GB2312" w:hAnsi="仿宋_GB2312" w:eastAsia="仿宋_GB2312" w:cs="仿宋_GB2312"/>
                <w:sz w:val="24"/>
                <w:szCs w:val="24"/>
                <w:highlight w:val="none"/>
                <w:u w:val="singl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pStyle w:val="6"/>
              <w:tabs>
                <w:tab w:val="left" w:pos="580"/>
              </w:tabs>
              <w:adjustRightInd w:val="0"/>
              <w:snapToGrid w:val="0"/>
              <w:spacing w:line="360" w:lineRule="auto"/>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邮政编码：</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918" w:hRule="atLeast"/>
          <w:jc w:val="center"/>
        </w:trPr>
        <w:tc>
          <w:tcPr>
            <w:tcW w:w="4073" w:type="dxa"/>
            <w:noWrap w:val="0"/>
            <w:vAlign w:val="top"/>
          </w:tcPr>
          <w:p>
            <w:pPr>
              <w:adjustRightInd w:val="0"/>
              <w:snapToGrid w:val="0"/>
              <w:spacing w:line="360" w:lineRule="auto"/>
              <w:ind w:left="1200" w:hanging="1200" w:hangingChars="500"/>
              <w:jc w:val="left"/>
              <w:rPr>
                <w:rFonts w:hint="default" w:ascii="仿宋_GB2312" w:hAnsi="仿宋_GB2312" w:eastAsia="仿宋_GB2312" w:cs="仿宋_GB2312"/>
                <w:b/>
                <w:sz w:val="24"/>
                <w:szCs w:val="24"/>
                <w:highlight w:val="none"/>
                <w:u w:val="single"/>
                <w:lang w:val="en-US" w:eastAsia="zh-CN"/>
              </w:rPr>
            </w:pPr>
            <w:r>
              <w:rPr>
                <w:rFonts w:hint="eastAsia" w:ascii="仿宋_GB2312" w:hAnsi="仿宋_GB2312" w:eastAsia="仿宋_GB2312" w:cs="仿宋_GB2312"/>
                <w:sz w:val="24"/>
                <w:szCs w:val="24"/>
                <w:highlight w:val="none"/>
              </w:rPr>
              <w:t>开户银行：</w:t>
            </w:r>
            <w:r>
              <w:rPr>
                <w:rFonts w:hint="eastAsia" w:ascii="仿宋_GB2312" w:hAnsi="仿宋_GB2312" w:eastAsia="仿宋_GB2312" w:cs="仿宋_GB2312"/>
                <w:sz w:val="24"/>
                <w:szCs w:val="24"/>
                <w:highlight w:val="none"/>
                <w:u w:val="singl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开户银行：</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661" w:hRule="atLeast"/>
          <w:jc w:val="center"/>
        </w:trPr>
        <w:tc>
          <w:tcPr>
            <w:tcW w:w="4073" w:type="dxa"/>
            <w:noWrap w:val="0"/>
            <w:vAlign w:val="top"/>
          </w:tcPr>
          <w:p>
            <w:pPr>
              <w:adjustRightInd w:val="0"/>
              <w:snapToGrid w:val="0"/>
              <w:spacing w:line="360" w:lineRule="auto"/>
              <w:jc w:val="left"/>
              <w:rPr>
                <w:rFonts w:hint="default" w:ascii="仿宋_GB2312" w:hAnsi="仿宋_GB2312" w:eastAsia="仿宋_GB2312" w:cs="仿宋_GB2312"/>
                <w:b/>
                <w:sz w:val="24"/>
                <w:szCs w:val="24"/>
                <w:highlight w:val="none"/>
                <w:u w:val="single"/>
                <w:lang w:val="en-US" w:eastAsia="zh-CN"/>
              </w:rPr>
            </w:pPr>
            <w:r>
              <w:rPr>
                <w:rFonts w:hint="eastAsia" w:ascii="仿宋_GB2312" w:hAnsi="仿宋_GB2312" w:eastAsia="仿宋_GB2312" w:cs="仿宋_GB2312"/>
                <w:sz w:val="24"/>
                <w:szCs w:val="24"/>
                <w:highlight w:val="none"/>
              </w:rPr>
              <w:t>账号：</w:t>
            </w:r>
            <w:r>
              <w:rPr>
                <w:rFonts w:hint="eastAsia" w:ascii="仿宋_GB2312" w:hAnsi="仿宋_GB2312" w:eastAsia="仿宋_GB2312" w:cs="仿宋_GB2312"/>
                <w:sz w:val="24"/>
                <w:szCs w:val="24"/>
                <w:highlight w:val="none"/>
                <w:u w:val="singl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账号：</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661" w:hRule="atLeast"/>
          <w:jc w:val="center"/>
        </w:trPr>
        <w:tc>
          <w:tcPr>
            <w:tcW w:w="4073" w:type="dxa"/>
            <w:noWrap w:val="0"/>
            <w:vAlign w:val="top"/>
          </w:tcPr>
          <w:p>
            <w:pPr>
              <w:adjustRightInd w:val="0"/>
              <w:snapToGrid w:val="0"/>
              <w:spacing w:line="360" w:lineRule="auto"/>
              <w:jc w:val="left"/>
              <w:rPr>
                <w:rFonts w:hint="default" w:ascii="仿宋_GB2312" w:hAnsi="仿宋_GB2312" w:eastAsia="仿宋_GB2312" w:cs="仿宋_GB2312"/>
                <w:b/>
                <w:sz w:val="24"/>
                <w:szCs w:val="24"/>
                <w:highlight w:val="none"/>
                <w:u w:val="single"/>
                <w:lang w:val="en-US" w:eastAsia="zh-CN"/>
              </w:rPr>
            </w:pPr>
            <w:r>
              <w:rPr>
                <w:rFonts w:hint="eastAsia" w:ascii="仿宋_GB2312" w:hAnsi="仿宋_GB2312" w:eastAsia="仿宋_GB2312" w:cs="仿宋_GB2312"/>
                <w:sz w:val="24"/>
                <w:szCs w:val="24"/>
                <w:highlight w:val="none"/>
              </w:rPr>
              <w:t>电话：</w:t>
            </w:r>
            <w:r>
              <w:rPr>
                <w:rFonts w:hint="eastAsia" w:ascii="仿宋_GB2312" w:hAnsi="仿宋_GB2312" w:eastAsia="仿宋_GB2312" w:cs="仿宋_GB2312"/>
                <w:sz w:val="24"/>
                <w:szCs w:val="24"/>
                <w:highlight w:val="none"/>
                <w:u w:val="singl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电话：</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trHeight w:val="751" w:hRule="atLeast"/>
          <w:jc w:val="center"/>
        </w:trPr>
        <w:tc>
          <w:tcPr>
            <w:tcW w:w="4073" w:type="dxa"/>
            <w:noWrap w:val="0"/>
            <w:vAlign w:val="top"/>
          </w:tcPr>
          <w:p>
            <w:pPr>
              <w:adjustRightInd w:val="0"/>
              <w:snapToGrid w:val="0"/>
              <w:spacing w:line="360" w:lineRule="auto"/>
              <w:jc w:val="left"/>
              <w:rPr>
                <w:rFonts w:hint="default" w:ascii="仿宋_GB2312" w:hAnsi="仿宋_GB2312" w:eastAsia="仿宋_GB2312" w:cs="仿宋_GB2312"/>
                <w:b/>
                <w:sz w:val="24"/>
                <w:szCs w:val="24"/>
                <w:highlight w:val="none"/>
                <w:u w:val="single"/>
                <w:lang w:val="en-US" w:eastAsia="zh-CN"/>
              </w:rPr>
            </w:pPr>
            <w:r>
              <w:rPr>
                <w:rFonts w:hint="eastAsia" w:ascii="仿宋_GB2312" w:hAnsi="仿宋_GB2312" w:eastAsia="仿宋_GB2312" w:cs="仿宋_GB2312"/>
                <w:sz w:val="24"/>
                <w:szCs w:val="24"/>
                <w:highlight w:val="none"/>
              </w:rPr>
              <w:t>传真：</w:t>
            </w:r>
            <w:r>
              <w:rPr>
                <w:rFonts w:hint="eastAsia" w:ascii="仿宋_GB2312" w:hAnsi="仿宋_GB2312" w:eastAsia="仿宋_GB2312" w:cs="仿宋_GB2312"/>
                <w:sz w:val="24"/>
                <w:szCs w:val="24"/>
                <w:highlight w:val="none"/>
                <w:u w:val="single"/>
                <w:lang w:val="en-US" w:eastAsia="zh-CN"/>
              </w:rPr>
              <w:t xml:space="preserve">           </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p>
        </w:tc>
        <w:tc>
          <w:tcPr>
            <w:tcW w:w="4128" w:type="dxa"/>
            <w:noWrap w:val="0"/>
            <w:vAlign w:val="top"/>
          </w:tcPr>
          <w:p>
            <w:pPr>
              <w:adjustRightInd w:val="0"/>
              <w:snapToGrid w:val="0"/>
              <w:spacing w:line="360" w:lineRule="auto"/>
              <w:jc w:val="left"/>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传真：</w:t>
            </w:r>
            <w:r>
              <w:rPr>
                <w:rFonts w:hint="eastAsia" w:ascii="仿宋_GB2312" w:hAnsi="仿宋_GB2312" w:eastAsia="仿宋_GB2312" w:cs="仿宋_GB2312"/>
                <w:sz w:val="24"/>
                <w:szCs w:val="24"/>
                <w:highlight w:val="none"/>
                <w:u w:val="single"/>
              </w:rPr>
              <w:t xml:space="preserve">             </w:t>
            </w:r>
          </w:p>
        </w:tc>
      </w:tr>
      <w:tr>
        <w:tblPrEx>
          <w:tblCellMar>
            <w:top w:w="0" w:type="dxa"/>
            <w:left w:w="108" w:type="dxa"/>
            <w:bottom w:w="0" w:type="dxa"/>
            <w:right w:w="108" w:type="dxa"/>
          </w:tblCellMar>
        </w:tblPrEx>
        <w:trPr>
          <w:jc w:val="center"/>
        </w:trPr>
        <w:tc>
          <w:tcPr>
            <w:tcW w:w="4073" w:type="dxa"/>
            <w:noWrap w:val="0"/>
            <w:vAlign w:val="top"/>
          </w:tcPr>
          <w:p>
            <w:pPr>
              <w:adjustRightInd w:val="0"/>
              <w:snapToGrid w:val="0"/>
              <w:spacing w:line="360" w:lineRule="auto"/>
              <w:ind w:firstLine="960" w:firstLineChars="4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年</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月</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日</w:t>
            </w:r>
          </w:p>
        </w:tc>
        <w:tc>
          <w:tcPr>
            <w:tcW w:w="321" w:type="dxa"/>
            <w:noWrap w:val="0"/>
            <w:vAlign w:val="top"/>
          </w:tcPr>
          <w:p>
            <w:pPr>
              <w:adjustRightInd w:val="0"/>
              <w:snapToGrid w:val="0"/>
              <w:spacing w:line="360" w:lineRule="auto"/>
              <w:jc w:val="left"/>
              <w:rPr>
                <w:rFonts w:hint="eastAsia" w:ascii="仿宋_GB2312" w:hAnsi="仿宋_GB2312" w:eastAsia="仿宋_GB2312" w:cs="仿宋_GB2312"/>
                <w:sz w:val="24"/>
                <w:szCs w:val="24"/>
                <w:highlight w:val="none"/>
              </w:rPr>
            </w:pPr>
          </w:p>
        </w:tc>
        <w:tc>
          <w:tcPr>
            <w:tcW w:w="4128" w:type="dxa"/>
            <w:noWrap w:val="0"/>
            <w:vAlign w:val="top"/>
          </w:tcPr>
          <w:p>
            <w:pPr>
              <w:adjustRightInd w:val="0"/>
              <w:snapToGrid w:val="0"/>
              <w:spacing w:line="360" w:lineRule="auto"/>
              <w:ind w:firstLine="960" w:firstLineChars="4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年</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月</w:t>
            </w:r>
            <w:r>
              <w:rPr>
                <w:rFonts w:hint="eastAsia" w:ascii="仿宋_GB2312" w:hAnsi="仿宋_GB2312" w:eastAsia="仿宋_GB2312" w:cs="仿宋_GB2312"/>
                <w:bCs/>
                <w:sz w:val="24"/>
                <w:szCs w:val="24"/>
                <w:highlight w:val="none"/>
                <w:u w:val="single"/>
              </w:rPr>
              <w:t xml:space="preserve">    </w:t>
            </w:r>
            <w:r>
              <w:rPr>
                <w:rFonts w:hint="eastAsia" w:ascii="仿宋_GB2312" w:hAnsi="仿宋_GB2312" w:eastAsia="仿宋_GB2312" w:cs="仿宋_GB2312"/>
                <w:bCs/>
                <w:sz w:val="24"/>
                <w:szCs w:val="24"/>
                <w:highlight w:val="none"/>
              </w:rPr>
              <w:t>日</w:t>
            </w:r>
          </w:p>
        </w:tc>
      </w:tr>
    </w:tbl>
    <w:p>
      <w:pPr>
        <w:keepNext/>
        <w:keepLines/>
        <w:widowControl/>
        <w:adjustRightInd w:val="0"/>
        <w:snapToGrid w:val="0"/>
        <w:spacing w:line="360" w:lineRule="auto"/>
        <w:jc w:val="center"/>
        <w:rPr>
          <w:rFonts w:hint="eastAsia" w:ascii="仿宋_GB2312" w:hAnsi="仿宋_GB2312" w:eastAsia="仿宋_GB2312" w:cs="仿宋_GB2312"/>
          <w:b/>
          <w:sz w:val="24"/>
          <w:szCs w:val="24"/>
          <w:highlight w:val="none"/>
          <w:lang w:val="zh-CN"/>
        </w:rPr>
      </w:pPr>
    </w:p>
    <w:p>
      <w:pPr>
        <w:keepNext/>
        <w:keepLines/>
        <w:widowControl/>
        <w:adjustRightInd w:val="0"/>
        <w:snapToGrid w:val="0"/>
        <w:spacing w:line="360" w:lineRule="auto"/>
        <w:jc w:val="left"/>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附件：</w:t>
      </w:r>
    </w:p>
    <w:p>
      <w:pPr>
        <w:keepNext/>
        <w:keepLines/>
        <w:widowControl/>
        <w:adjustRightInd w:val="0"/>
        <w:snapToGrid w:val="0"/>
        <w:spacing w:line="360" w:lineRule="auto"/>
        <w:jc w:val="center"/>
        <w:rPr>
          <w:rFonts w:hint="eastAsia" w:ascii="仿宋_GB2312" w:hAnsi="仿宋_GB2312" w:eastAsia="仿宋_GB2312" w:cs="仿宋_GB2312"/>
          <w:b/>
          <w:sz w:val="24"/>
          <w:szCs w:val="24"/>
          <w:highlight w:val="none"/>
          <w:lang w:val="zh-CN"/>
        </w:rPr>
      </w:pPr>
      <w:r>
        <w:rPr>
          <w:rFonts w:hint="eastAsia" w:ascii="仿宋_GB2312" w:hAnsi="仿宋_GB2312" w:eastAsia="仿宋_GB2312" w:cs="仿宋_GB2312"/>
          <w:b/>
          <w:sz w:val="24"/>
          <w:szCs w:val="24"/>
          <w:highlight w:val="none"/>
          <w:lang w:val="zh-CN"/>
        </w:rPr>
        <w:t>费用组成明细表</w:t>
      </w:r>
    </w:p>
    <w:p>
      <w:pPr>
        <w:pStyle w:val="5"/>
        <w:rPr>
          <w:rFonts w:hint="eastAsia"/>
          <w:lang w:val="en-US" w:eastAsia="zh-Hans"/>
        </w:rPr>
      </w:pPr>
      <w:r>
        <w:br w:type="textWrapping"/>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pperplate Gothic Bold">
    <w:altName w:val="Segoe Print"/>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MDZjZTE3MmUwMDJmOWViMzAyMjE5Mzc4MzMyODQifQ=="/>
  </w:docVars>
  <w:rsids>
    <w:rsidRoot w:val="00000000"/>
    <w:rsid w:val="282039C4"/>
    <w:rsid w:val="301070DA"/>
    <w:rsid w:val="4D4B6E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qFormat/>
    <w:uiPriority w:val="0"/>
    <w:rPr>
      <w:rFonts w:hint="eastAsia" w:ascii="Calibri" w:hAnsi="Calibri" w:eastAsia="宋体" w:cs="Times New Roman"/>
      <w:lang w:val="en-US" w:eastAsia="zh-Hans"/>
    </w:rPr>
  </w:style>
  <w:style w:type="paragraph" w:customStyle="1" w:styleId="6">
    <w:name w:val="Table Paragraph"/>
    <w:basedOn w:val="1"/>
    <w:qFormat/>
    <w:uiPriority w:val="1"/>
    <w:pPr>
      <w:spacing w:before="65"/>
      <w:ind w:left="37"/>
      <w:jc w:val="center"/>
    </w:pPr>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2024-05-15T05:02:01Z</dcterms:created>
  <dc:creator>lenovo</dc:creator>
  <cp:lastModifiedBy>刘畅</cp:lastModifiedBy>
  <dcterms:modified xsi:type="dcterms:W3CDTF">2024-05-21T02:04:59Z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2C7F98436B9F471F947B3D0DB0A7168C_13</vt:lpwstr>
  </property>
</Properties>
</file>