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before="0" w:after="0" w:line="360" w:lineRule="auto"/>
        <w:rPr>
          <w:rFonts w:hint="eastAsia" w:ascii="方正仿宋_GB2312" w:hAnsi="方正仿宋_GB2312" w:eastAsia="方正仿宋_GB2312" w:cs="方正仿宋_GB2312"/>
          <w:color w:val="auto"/>
          <w:sz w:val="24"/>
          <w:szCs w:val="24"/>
          <w:highlight w:val="none"/>
          <w:lang w:val="zh-CN"/>
        </w:rPr>
      </w:pPr>
      <w:bookmarkStart w:id="0" w:name="_Toc12396"/>
      <w:bookmarkStart w:id="1" w:name="_Toc19989"/>
      <w:r>
        <w:rPr>
          <w:rFonts w:hint="eastAsia" w:ascii="方正仿宋_GB2312" w:hAnsi="方正仿宋_GB2312" w:eastAsia="方正仿宋_GB2312" w:cs="方正仿宋_GB2312"/>
          <w:color w:val="auto"/>
          <w:sz w:val="24"/>
          <w:szCs w:val="24"/>
          <w:highlight w:val="none"/>
          <w:lang w:val="zh-CN"/>
        </w:rPr>
        <w:t>需要落实的政府采购政策</w:t>
      </w:r>
      <w:bookmarkEnd w:id="0"/>
      <w:bookmarkEnd w:id="1"/>
    </w:p>
    <w:p>
      <w:pPr>
        <w:spacing w:line="360" w:lineRule="auto"/>
        <w:rPr>
          <w:rFonts w:hint="eastAsia" w:ascii="方正仿宋_GB2312" w:hAnsi="方正仿宋_GB2312" w:eastAsia="方正仿宋_GB2312" w:cs="方正仿宋_GB2312"/>
          <w:color w:val="auto"/>
          <w:sz w:val="24"/>
          <w:szCs w:val="22"/>
          <w:highlight w:val="none"/>
        </w:rPr>
      </w:pPr>
      <w:r>
        <w:rPr>
          <w:rFonts w:hint="eastAsia" w:ascii="方正仿宋_GB2312" w:hAnsi="方正仿宋_GB2312" w:eastAsia="方正仿宋_GB2312" w:cs="方正仿宋_GB2312"/>
          <w:color w:val="auto"/>
          <w:sz w:val="24"/>
          <w:szCs w:val="22"/>
          <w:highlight w:val="none"/>
          <w:lang w:val="en-US" w:eastAsia="zh-CN"/>
        </w:rPr>
        <w:t>1.</w:t>
      </w:r>
      <w:r>
        <w:rPr>
          <w:rFonts w:hint="eastAsia" w:ascii="方正仿宋_GB2312" w:hAnsi="方正仿宋_GB2312" w:eastAsia="方正仿宋_GB2312" w:cs="方正仿宋_GB2312"/>
          <w:color w:val="auto"/>
          <w:sz w:val="24"/>
          <w:szCs w:val="22"/>
          <w:highlight w:val="none"/>
        </w:rPr>
        <w:t>在政府采购活动中属中型、小型、微型企业的供应商出具《中小企业声明函》并加盖公章，中小企业对其声明内容的真实性负责，声明函内容不实的，属于提供虚假材料谋取中标、成交，依照《中华人民共和国政府采购法》等国家有关规定追究相应责任。</w:t>
      </w:r>
    </w:p>
    <w:p>
      <w:pPr>
        <w:spacing w:line="360" w:lineRule="auto"/>
        <w:ind w:firstLine="480" w:firstLineChars="200"/>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 xml:space="preserve">按照国家工信部、国家统计局、国家发改委、财政部出台的《中小企业划型标准规定》（工信部联企业[2011]300号），本项目适用的行业标准为：其他未列明行业。从业人员300人以下的为中小微型企业。其中，从业人员100人及以上的为中型企业；从业人员10人及以上的为小型企业；从业人员10人以下的为微型企业。    </w:t>
      </w:r>
    </w:p>
    <w:p>
      <w:pPr>
        <w:spacing w:line="360" w:lineRule="auto"/>
        <w:ind w:firstLine="480" w:firstLineChars="200"/>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按照《政府采购促进中小企业发展管理办法》提供的《中小企业声明函》【财库（2020）46号】服务类模板自行填写。</w:t>
      </w:r>
    </w:p>
    <w:p>
      <w:pPr>
        <w:spacing w:line="360" w:lineRule="auto"/>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2.按照《财政部 司法部关于政府采购具备监狱企业发展有关问题的通知》（财库〔2014〕68号）的相关规定，监狱企业视为小微企业。</w:t>
      </w:r>
    </w:p>
    <w:p>
      <w:pPr>
        <w:spacing w:line="360" w:lineRule="auto"/>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3.按照《关于促进残疾人就业政府采购政策的通知》财库（〔2017〕141号）的相关规定，残疾人企业视同小微企业。</w:t>
      </w:r>
    </w:p>
    <w:p>
      <w:pPr>
        <w:spacing w:line="360" w:lineRule="auto"/>
        <w:rPr>
          <w:rFonts w:hint="eastAsia" w:ascii="方正仿宋_GB2312" w:hAnsi="方正仿宋_GB2312" w:eastAsia="方正仿宋_GB2312" w:cs="方正仿宋_GB2312"/>
          <w:color w:val="auto"/>
          <w:sz w:val="24"/>
          <w:highlight w:val="none"/>
          <w:lang w:eastAsia="zh-CN"/>
        </w:rPr>
      </w:pPr>
      <w:r>
        <w:rPr>
          <w:rFonts w:hint="eastAsia" w:ascii="方正仿宋_GB2312" w:hAnsi="方正仿宋_GB2312" w:eastAsia="方正仿宋_GB2312" w:cs="方正仿宋_GB2312"/>
          <w:color w:val="auto"/>
          <w:sz w:val="24"/>
          <w:highlight w:val="none"/>
        </w:rPr>
        <w:t>4.具有环境标志、节能的产品在本次采购中评分时予以加分。</w:t>
      </w:r>
      <w:r>
        <w:rPr>
          <w:rFonts w:hint="eastAsia" w:ascii="方正仿宋_GB2312" w:hAnsi="方正仿宋_GB2312" w:eastAsia="方正仿宋_GB2312" w:cs="方正仿宋_GB2312"/>
          <w:color w:val="auto"/>
          <w:sz w:val="24"/>
          <w:highlight w:val="none"/>
          <w:lang w:eastAsia="zh-CN"/>
        </w:rPr>
        <w:t>（</w:t>
      </w:r>
      <w:r>
        <w:rPr>
          <w:rFonts w:hint="eastAsia" w:ascii="方正仿宋_GB2312" w:hAnsi="方正仿宋_GB2312" w:eastAsia="方正仿宋_GB2312" w:cs="方正仿宋_GB2312"/>
          <w:color w:val="auto"/>
          <w:sz w:val="24"/>
          <w:highlight w:val="none"/>
          <w:lang w:val="en-US" w:eastAsia="zh-CN"/>
        </w:rPr>
        <w:t>本项目不适用</w:t>
      </w:r>
      <w:r>
        <w:rPr>
          <w:rFonts w:hint="eastAsia" w:ascii="方正仿宋_GB2312" w:hAnsi="方正仿宋_GB2312" w:eastAsia="方正仿宋_GB2312" w:cs="方正仿宋_GB2312"/>
          <w:color w:val="auto"/>
          <w:sz w:val="24"/>
          <w:highlight w:val="none"/>
          <w:lang w:eastAsia="zh-CN"/>
        </w:rPr>
        <w:t>）</w:t>
      </w:r>
    </w:p>
    <w:p>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5西安市政府采购信用担保及信用融资合作机构联系名单</w:t>
      </w:r>
    </w:p>
    <w:p>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按西安市财政局关于印发《关于调整西安市政府采购信用担保及信用融资合作机构联系名单的通知》（市财发〔2015〕4号）</w:t>
      </w:r>
    </w:p>
    <w:tbl>
      <w:tblPr>
        <w:tblStyle w:val="5"/>
        <w:tblW w:w="8757" w:type="dxa"/>
        <w:jc w:val="center"/>
        <w:tblLayout w:type="fixed"/>
        <w:tblCellMar>
          <w:top w:w="0" w:type="dxa"/>
          <w:left w:w="0" w:type="dxa"/>
          <w:bottom w:w="0" w:type="dxa"/>
          <w:right w:w="0" w:type="dxa"/>
        </w:tblCellMar>
      </w:tblPr>
      <w:tblGrid>
        <w:gridCol w:w="609"/>
        <w:gridCol w:w="1057"/>
        <w:gridCol w:w="2268"/>
        <w:gridCol w:w="1162"/>
        <w:gridCol w:w="874"/>
        <w:gridCol w:w="1995"/>
        <w:gridCol w:w="792"/>
      </w:tblGrid>
      <w:tr>
        <w:tblPrEx>
          <w:tblCellMar>
            <w:top w:w="0" w:type="dxa"/>
            <w:left w:w="0" w:type="dxa"/>
            <w:bottom w:w="0" w:type="dxa"/>
            <w:right w:w="0" w:type="dxa"/>
          </w:tblCellMar>
        </w:tblPrEx>
        <w:trPr>
          <w:trHeight w:val="606"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kern w:val="0"/>
                <w:sz w:val="24"/>
                <w:szCs w:val="24"/>
                <w:highlight w:val="none"/>
              </w:rPr>
              <w:t>序号</w:t>
            </w:r>
          </w:p>
        </w:tc>
        <w:tc>
          <w:tcPr>
            <w:tcW w:w="105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kern w:val="0"/>
                <w:sz w:val="24"/>
                <w:szCs w:val="24"/>
                <w:highlight w:val="none"/>
              </w:rPr>
              <w:t>合作单位名称</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kern w:val="0"/>
                <w:sz w:val="24"/>
                <w:szCs w:val="24"/>
                <w:highlight w:val="none"/>
              </w:rPr>
              <w:t>主办单位名称</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kern w:val="0"/>
                <w:sz w:val="24"/>
                <w:szCs w:val="24"/>
                <w:highlight w:val="none"/>
              </w:rPr>
              <w:t>联系部门</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kern w:val="0"/>
                <w:sz w:val="24"/>
                <w:szCs w:val="24"/>
                <w:highlight w:val="none"/>
              </w:rPr>
              <w:t>联系人员</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kern w:val="0"/>
                <w:sz w:val="24"/>
                <w:szCs w:val="24"/>
                <w:highlight w:val="none"/>
              </w:rPr>
              <w:t>联系电话</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kern w:val="0"/>
                <w:sz w:val="24"/>
                <w:szCs w:val="24"/>
                <w:highlight w:val="none"/>
              </w:rPr>
              <w:t>备注</w:t>
            </w:r>
          </w:p>
        </w:tc>
      </w:tr>
      <w:tr>
        <w:tblPrEx>
          <w:tblCellMar>
            <w:top w:w="0" w:type="dxa"/>
            <w:left w:w="0" w:type="dxa"/>
            <w:bottom w:w="0" w:type="dxa"/>
            <w:right w:w="0" w:type="dxa"/>
          </w:tblCellMar>
        </w:tblPrEx>
        <w:trPr>
          <w:trHeight w:val="1102"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w:t>
            </w:r>
          </w:p>
        </w:tc>
        <w:tc>
          <w:tcPr>
            <w:tcW w:w="105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西安投融资担保有限公司</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西安投融资担保有限公司</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业务五部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李晓</w:t>
            </w:r>
          </w:p>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何彦君</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张华</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88499422 13572821281</w:t>
            </w:r>
          </w:p>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88499422 13679255205</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88499422 18220823060</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信用担保</w:t>
            </w:r>
          </w:p>
        </w:tc>
      </w:tr>
      <w:tr>
        <w:tblPrEx>
          <w:tblCellMar>
            <w:top w:w="0" w:type="dxa"/>
            <w:left w:w="0" w:type="dxa"/>
            <w:bottom w:w="0" w:type="dxa"/>
            <w:right w:w="0" w:type="dxa"/>
          </w:tblCellMar>
        </w:tblPrEx>
        <w:trPr>
          <w:trHeight w:val="1039"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2</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陕西省信用再担保</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有限责任公司</w:t>
            </w:r>
          </w:p>
        </w:tc>
        <w:tc>
          <w:tcPr>
            <w:tcW w:w="22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陕西省信用再担保</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有限责任公司</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业务三部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夏靖颜</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朱筠祥</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88606038-6027</w:t>
            </w:r>
          </w:p>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18591406320</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18629282228</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信用担保</w:t>
            </w:r>
          </w:p>
        </w:tc>
      </w:tr>
      <w:tr>
        <w:tblPrEx>
          <w:tblCellMar>
            <w:top w:w="0" w:type="dxa"/>
            <w:left w:w="0" w:type="dxa"/>
            <w:bottom w:w="0" w:type="dxa"/>
            <w:right w:w="0" w:type="dxa"/>
          </w:tblCellMar>
        </w:tblPrEx>
        <w:trPr>
          <w:trHeight w:val="932"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3</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中国银行股份有限公司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陕西省分行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中国银行西安二环世纪星支行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公司业务部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 xml:space="preserve">胡涛 </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叶楚沙</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88360743 18629048822</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88360749 13772153612</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822"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4</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中国建设银行股份有限公司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陕西省分行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建设银行西安市南大街支行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公司部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杨向晖</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87281468</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13379229383</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1065"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5</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中国工商银行股份有限公司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陕西省分行营业部</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工商银行陕西分行营业部</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小企业金融业务部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牛国群</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张航</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87609569 18992851811</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87609761 13891883334</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1065"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6</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中国农业银行股份有限公司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陕西省分行营业部</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农业银行西安西大街支行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公司业务部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贾珊</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高雅</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87617245 13891957123</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87613444 13659192425</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1065"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7</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交通银行股份有限公司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陕西省分行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交通银行西安西五路支行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个人贷款中心</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李卫公</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雷强</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87297632 13991290525</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87272444 18629362690</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1065"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8</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招商银行股份有限公司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招商银行西安未央路支行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公司银行部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杨皓</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马秦香</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62811553 15002905553</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62811553 13609183259</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822"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9</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中国民生银行股份有限公司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民生银行西安分行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城建金融部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李楠</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88266088-8450</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13572058213</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822"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10</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中国光大银行股份有限公司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光大银行经济技术开发区支行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对公客户经理部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高艺</w:t>
            </w:r>
            <w:r>
              <w:rPr>
                <w:rStyle w:val="7"/>
                <w:rFonts w:hint="eastAsia" w:ascii="方正仿宋_GB2312" w:hAnsi="方正仿宋_GB2312" w:eastAsia="方正仿宋_GB2312" w:cs="方正仿宋_GB2312"/>
                <w:color w:val="auto"/>
                <w:sz w:val="24"/>
                <w:szCs w:val="24"/>
                <w:highlight w:val="none"/>
              </w:rPr>
              <w:t>瑄</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15619006186</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775"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11</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昆仑银行股份有限公司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昆仑银行西安分行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机构投行部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韩天清</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86978975</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15609108028</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775"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12</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平安银行股份有限公司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平安银行西安分行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业务发展七部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祝捷</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王尧</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18629505188</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18591767577</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790"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13</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北京银行股份有限公司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北京银行西安分行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营业部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范诗阳</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曹英</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13991945764</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18691892195</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790" w:hRule="atLeast"/>
          <w:jc w:val="center"/>
        </w:trPr>
        <w:tc>
          <w:tcPr>
            <w:tcW w:w="6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14</w:t>
            </w:r>
          </w:p>
        </w:tc>
        <w:tc>
          <w:tcPr>
            <w:tcW w:w="10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兴业银行股份有限公司</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西安分行</w:t>
            </w:r>
          </w:p>
        </w:tc>
        <w:tc>
          <w:tcPr>
            <w:tcW w:w="22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兴业银行西安分行</w:t>
            </w:r>
          </w:p>
        </w:tc>
        <w:tc>
          <w:tcPr>
            <w:tcW w:w="11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新城业务总部</w:t>
            </w:r>
          </w:p>
        </w:tc>
        <w:tc>
          <w:tcPr>
            <w:tcW w:w="8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徐常磊</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鲁</w:t>
            </w:r>
            <w:r>
              <w:rPr>
                <w:rStyle w:val="7"/>
                <w:rFonts w:hint="eastAsia" w:ascii="方正仿宋_GB2312" w:hAnsi="方正仿宋_GB2312" w:eastAsia="方正仿宋_GB2312" w:cs="方正仿宋_GB2312"/>
                <w:color w:val="auto"/>
                <w:sz w:val="24"/>
                <w:szCs w:val="24"/>
                <w:highlight w:val="none"/>
              </w:rPr>
              <w:t>旸</w:t>
            </w:r>
          </w:p>
        </w:tc>
        <w:tc>
          <w:tcPr>
            <w:tcW w:w="19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rPr>
              <w:t>15991623666</w:t>
            </w:r>
          </w:p>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15389081886</w:t>
            </w:r>
          </w:p>
        </w:tc>
        <w:tc>
          <w:tcPr>
            <w:tcW w:w="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信用融资</w:t>
            </w:r>
          </w:p>
        </w:tc>
      </w:tr>
      <w:tr>
        <w:tblPrEx>
          <w:tblCellMar>
            <w:top w:w="0" w:type="dxa"/>
            <w:left w:w="0" w:type="dxa"/>
            <w:bottom w:w="0" w:type="dxa"/>
            <w:right w:w="0" w:type="dxa"/>
          </w:tblCellMar>
        </w:tblPrEx>
        <w:trPr>
          <w:trHeight w:val="367" w:hRule="atLeast"/>
          <w:jc w:val="center"/>
        </w:trPr>
        <w:tc>
          <w:tcPr>
            <w:tcW w:w="609" w:type="dxa"/>
            <w:tcBorders>
              <w:top w:val="nil"/>
              <w:left w:val="nil"/>
              <w:bottom w:val="nil"/>
              <w:right w:val="nil"/>
            </w:tcBorders>
            <w:noWrap/>
            <w:tcMar>
              <w:top w:w="15" w:type="dxa"/>
              <w:left w:w="15" w:type="dxa"/>
              <w:right w:w="15" w:type="dxa"/>
            </w:tcMar>
            <w:vAlign w:val="center"/>
          </w:tcPr>
          <w:p>
            <w:pPr>
              <w:spacing w:line="360" w:lineRule="auto"/>
              <w:rPr>
                <w:rFonts w:hint="eastAsia" w:ascii="方正仿宋_GB2312" w:hAnsi="方正仿宋_GB2312" w:eastAsia="方正仿宋_GB2312" w:cs="方正仿宋_GB2312"/>
                <w:color w:val="auto"/>
                <w:sz w:val="24"/>
                <w:szCs w:val="24"/>
                <w:highlight w:val="none"/>
              </w:rPr>
            </w:pPr>
          </w:p>
        </w:tc>
        <w:tc>
          <w:tcPr>
            <w:tcW w:w="1057" w:type="dxa"/>
            <w:tcBorders>
              <w:top w:val="nil"/>
              <w:left w:val="nil"/>
              <w:bottom w:val="nil"/>
              <w:right w:val="nil"/>
            </w:tcBorders>
            <w:noWrap/>
            <w:tcMar>
              <w:top w:w="15" w:type="dxa"/>
              <w:left w:w="15" w:type="dxa"/>
              <w:right w:w="15" w:type="dxa"/>
            </w:tcMar>
            <w:vAlign w:val="center"/>
          </w:tcPr>
          <w:p>
            <w:pPr>
              <w:spacing w:line="360" w:lineRule="auto"/>
              <w:rPr>
                <w:rFonts w:hint="eastAsia" w:ascii="方正仿宋_GB2312" w:hAnsi="方正仿宋_GB2312" w:eastAsia="方正仿宋_GB2312" w:cs="方正仿宋_GB2312"/>
                <w:color w:val="auto"/>
                <w:sz w:val="24"/>
                <w:szCs w:val="24"/>
                <w:highlight w:val="none"/>
              </w:rPr>
            </w:pPr>
          </w:p>
        </w:tc>
        <w:tc>
          <w:tcPr>
            <w:tcW w:w="2268" w:type="dxa"/>
            <w:tcBorders>
              <w:top w:val="nil"/>
              <w:left w:val="nil"/>
              <w:bottom w:val="nil"/>
              <w:right w:val="nil"/>
            </w:tcBorders>
            <w:noWrap/>
            <w:tcMar>
              <w:top w:w="15" w:type="dxa"/>
              <w:left w:w="15" w:type="dxa"/>
              <w:right w:w="15" w:type="dxa"/>
            </w:tcMar>
            <w:vAlign w:val="center"/>
          </w:tcPr>
          <w:p>
            <w:pPr>
              <w:spacing w:line="360" w:lineRule="auto"/>
              <w:rPr>
                <w:rFonts w:hint="eastAsia" w:ascii="方正仿宋_GB2312" w:hAnsi="方正仿宋_GB2312" w:eastAsia="方正仿宋_GB2312" w:cs="方正仿宋_GB2312"/>
                <w:color w:val="auto"/>
                <w:sz w:val="24"/>
                <w:szCs w:val="24"/>
                <w:highlight w:val="none"/>
              </w:rPr>
            </w:pPr>
          </w:p>
        </w:tc>
        <w:tc>
          <w:tcPr>
            <w:tcW w:w="1162" w:type="dxa"/>
            <w:tcBorders>
              <w:top w:val="nil"/>
              <w:left w:val="nil"/>
              <w:bottom w:val="nil"/>
              <w:right w:val="nil"/>
            </w:tcBorders>
            <w:noWrap/>
            <w:tcMar>
              <w:top w:w="15" w:type="dxa"/>
              <w:left w:w="15" w:type="dxa"/>
              <w:right w:w="15" w:type="dxa"/>
            </w:tcMar>
            <w:vAlign w:val="center"/>
          </w:tcPr>
          <w:p>
            <w:pPr>
              <w:spacing w:line="360" w:lineRule="auto"/>
              <w:rPr>
                <w:rFonts w:hint="eastAsia" w:ascii="方正仿宋_GB2312" w:hAnsi="方正仿宋_GB2312" w:eastAsia="方正仿宋_GB2312" w:cs="方正仿宋_GB2312"/>
                <w:color w:val="auto"/>
                <w:sz w:val="24"/>
                <w:szCs w:val="24"/>
                <w:highlight w:val="none"/>
              </w:rPr>
            </w:pPr>
          </w:p>
        </w:tc>
        <w:tc>
          <w:tcPr>
            <w:tcW w:w="874" w:type="dxa"/>
            <w:tcBorders>
              <w:top w:val="nil"/>
              <w:left w:val="nil"/>
              <w:bottom w:val="nil"/>
              <w:right w:val="nil"/>
            </w:tcBorders>
            <w:noWrap/>
            <w:tcMar>
              <w:top w:w="15" w:type="dxa"/>
              <w:left w:w="15" w:type="dxa"/>
              <w:right w:w="15" w:type="dxa"/>
            </w:tcMar>
            <w:vAlign w:val="center"/>
          </w:tcPr>
          <w:p>
            <w:pPr>
              <w:spacing w:line="360" w:lineRule="auto"/>
              <w:rPr>
                <w:rFonts w:hint="eastAsia" w:ascii="方正仿宋_GB2312" w:hAnsi="方正仿宋_GB2312" w:eastAsia="方正仿宋_GB2312" w:cs="方正仿宋_GB2312"/>
                <w:color w:val="auto"/>
                <w:sz w:val="24"/>
                <w:szCs w:val="24"/>
                <w:highlight w:val="none"/>
              </w:rPr>
            </w:pPr>
          </w:p>
        </w:tc>
        <w:tc>
          <w:tcPr>
            <w:tcW w:w="1995" w:type="dxa"/>
            <w:tcBorders>
              <w:top w:val="nil"/>
              <w:left w:val="nil"/>
              <w:bottom w:val="nil"/>
              <w:right w:val="nil"/>
            </w:tcBorders>
            <w:noWrap/>
            <w:tcMar>
              <w:top w:w="15" w:type="dxa"/>
              <w:left w:w="15" w:type="dxa"/>
              <w:right w:w="15" w:type="dxa"/>
            </w:tcMar>
            <w:vAlign w:val="center"/>
          </w:tcPr>
          <w:p>
            <w:pPr>
              <w:spacing w:line="360" w:lineRule="auto"/>
              <w:rPr>
                <w:rFonts w:hint="eastAsia" w:ascii="方正仿宋_GB2312" w:hAnsi="方正仿宋_GB2312" w:eastAsia="方正仿宋_GB2312" w:cs="方正仿宋_GB2312"/>
                <w:color w:val="auto"/>
                <w:sz w:val="24"/>
                <w:szCs w:val="24"/>
                <w:highlight w:val="none"/>
              </w:rPr>
            </w:pPr>
          </w:p>
        </w:tc>
        <w:tc>
          <w:tcPr>
            <w:tcW w:w="792" w:type="dxa"/>
            <w:tcBorders>
              <w:top w:val="nil"/>
              <w:left w:val="nil"/>
              <w:bottom w:val="nil"/>
              <w:right w:val="nil"/>
            </w:tcBorders>
            <w:noWrap/>
            <w:tcMar>
              <w:top w:w="15" w:type="dxa"/>
              <w:left w:w="15" w:type="dxa"/>
              <w:right w:w="15" w:type="dxa"/>
            </w:tcMar>
            <w:vAlign w:val="center"/>
          </w:tcPr>
          <w:p>
            <w:pPr>
              <w:spacing w:line="360" w:lineRule="auto"/>
              <w:rPr>
                <w:rFonts w:hint="eastAsia" w:ascii="方正仿宋_GB2312" w:hAnsi="方正仿宋_GB2312" w:eastAsia="方正仿宋_GB2312" w:cs="方正仿宋_GB2312"/>
                <w:color w:val="auto"/>
                <w:sz w:val="24"/>
                <w:szCs w:val="24"/>
                <w:highlight w:val="none"/>
              </w:rPr>
            </w:pPr>
          </w:p>
        </w:tc>
      </w:tr>
      <w:tr>
        <w:tblPrEx>
          <w:tblCellMar>
            <w:top w:w="0" w:type="dxa"/>
            <w:left w:w="0" w:type="dxa"/>
            <w:bottom w:w="0" w:type="dxa"/>
            <w:right w:w="0" w:type="dxa"/>
          </w:tblCellMar>
        </w:tblPrEx>
        <w:trPr>
          <w:trHeight w:val="375" w:hRule="atLeast"/>
          <w:jc w:val="center"/>
        </w:trPr>
        <w:tc>
          <w:tcPr>
            <w:tcW w:w="8757" w:type="dxa"/>
            <w:gridSpan w:val="7"/>
            <w:tcBorders>
              <w:top w:val="nil"/>
              <w:left w:val="nil"/>
              <w:bottom w:val="nil"/>
              <w:right w:val="nil"/>
            </w:tcBorders>
            <w:noWrap w:val="0"/>
            <w:tcMar>
              <w:top w:w="15" w:type="dxa"/>
              <w:left w:w="15" w:type="dxa"/>
              <w:right w:w="15" w:type="dxa"/>
            </w:tcMar>
            <w:vAlign w:val="center"/>
          </w:tcPr>
          <w:p>
            <w:pPr>
              <w:spacing w:line="360" w:lineRule="auto"/>
              <w:jc w:val="left"/>
              <w:textAlignment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kern w:val="0"/>
                <w:sz w:val="24"/>
                <w:szCs w:val="24"/>
                <w:highlight w:val="none"/>
              </w:rPr>
              <w:t>注：本项工作依据西安市财政局门户网站“政府采购”专栏中《西安市政府采购信用担保及融资工作实施方案（试行）》（市财发[2014]167号）组织开展，本表信息如有变动，请信息报送单位在发生变更之日起3个工作日内向西安市财政局备案，否则责任自负。</w:t>
            </w:r>
          </w:p>
        </w:tc>
      </w:tr>
    </w:tbl>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3CED19B-FCE9-42DB-973C-1B244419A70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2AB9445F-8BFF-4F23-A74C-5888524EE3D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40756D26"/>
    <w:rsid w:val="40756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3"/>
    <w:basedOn w:val="1"/>
    <w:next w:val="1"/>
    <w:qFormat/>
    <w:uiPriority w:val="0"/>
    <w:pPr>
      <w:keepNext/>
      <w:keepLines/>
      <w:spacing w:before="260" w:beforeLines="0" w:after="260" w:afterLines="0" w:line="413" w:lineRule="auto"/>
      <w:outlineLvl w:val="2"/>
    </w:pPr>
    <w:rPr>
      <w:b/>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character" w:customStyle="1" w:styleId="7">
    <w:name w:val="font0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2024-05-21T04:46:00Z</dcterms:created>
  <dc:creator>cool~静</dc:creator>
  <cp:lastModifiedBy>cool~静</cp:lastModifiedBy>
  <dcterms:modified xsi:type="dcterms:W3CDTF">2024-05-21T04:48:46Z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A33ACE71748C4AB39C3EE3E325661C53_11</vt:lpwstr>
  </property>
</Properties>
</file>